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CDE" w:rsidRDefault="00FD2CDE">
      <w:pPr>
        <w:shd w:val="nil"/>
        <w:rPr>
          <w:sz w:val="24"/>
          <w:szCs w:val="24"/>
        </w:rPr>
      </w:pPr>
      <w:r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s1026" type="#_x0000_t75" style="position:absolute;margin-left:0;margin-top:0;width:843pt;height:555.35pt;z-index:251657728;mso-wrap-distance-left:9.07pt;mso-wrap-distance-right:9.07pt">
            <v:imagedata r:id="rId7" o:title=""/>
            <o:lock v:ext="edit" rotation="t"/>
            <w10:wrap type="square"/>
          </v:shape>
        </w:pict>
      </w:r>
      <w:r w:rsidR="00F307CA">
        <w:rPr>
          <w:sz w:val="24"/>
          <w:szCs w:val="24"/>
        </w:rPr>
        <w:br w:type="page" w:clear="all"/>
      </w:r>
    </w:p>
    <w:p w:rsidR="00FD2CDE" w:rsidRDefault="00F307CA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Часть 1. Сведения об оказываемых государственных услугах</w:t>
      </w:r>
    </w:p>
    <w:p w:rsidR="00FD2CDE" w:rsidRDefault="00FD2CDE">
      <w:pPr>
        <w:jc w:val="both"/>
        <w:rPr>
          <w:sz w:val="22"/>
          <w:szCs w:val="22"/>
        </w:rPr>
      </w:pPr>
    </w:p>
    <w:p w:rsidR="00FD2CDE" w:rsidRDefault="00F307CA">
      <w:pPr>
        <w:jc w:val="center"/>
        <w:rPr>
          <w:sz w:val="22"/>
          <w:szCs w:val="22"/>
        </w:rPr>
      </w:pPr>
      <w:r>
        <w:rPr>
          <w:sz w:val="22"/>
          <w:szCs w:val="22"/>
        </w:rPr>
        <w:t>Раздел 1</w:t>
      </w:r>
    </w:p>
    <w:tbl>
      <w:tblPr>
        <w:tblStyle w:val="aff"/>
        <w:tblpPr w:leftFromText="180" w:rightFromText="180" w:vertAnchor="page" w:horzAnchor="page" w:tblpX="9922" w:tblpY="2161"/>
        <w:tblW w:w="6627" w:type="dxa"/>
        <w:tblLayout w:type="fixed"/>
        <w:tblLook w:val="04A0"/>
      </w:tblPr>
      <w:tblGrid>
        <w:gridCol w:w="3225"/>
        <w:gridCol w:w="3402"/>
      </w:tblGrid>
      <w:tr w:rsidR="00FD2CDE">
        <w:trPr>
          <w:trHeight w:val="717"/>
        </w:trPr>
        <w:tc>
          <w:tcPr>
            <w:tcW w:w="32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noWrap/>
          </w:tcPr>
          <w:p w:rsidR="00FD2CDE" w:rsidRDefault="00F307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по общероссийскому  базовому перечню,  региональному перечню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FD2CDE" w:rsidRDefault="00F307CA">
            <w:pPr>
              <w:jc w:val="center"/>
            </w:pPr>
            <w:r>
              <w:rPr>
                <w:sz w:val="24"/>
                <w:szCs w:val="24"/>
              </w:rPr>
              <w:t>22033000000000000005100</w:t>
            </w:r>
          </w:p>
        </w:tc>
      </w:tr>
    </w:tbl>
    <w:p w:rsidR="00FD2CDE" w:rsidRDefault="00FD2CDE">
      <w:pPr>
        <w:ind w:left="7938"/>
        <w:jc w:val="center"/>
        <w:rPr>
          <w:sz w:val="22"/>
          <w:szCs w:val="22"/>
        </w:rPr>
      </w:pPr>
    </w:p>
    <w:p w:rsidR="00FD2CDE" w:rsidRDefault="00FD2CDE">
      <w:pPr>
        <w:jc w:val="both"/>
        <w:rPr>
          <w:sz w:val="18"/>
          <w:szCs w:val="18"/>
        </w:rPr>
      </w:pPr>
    </w:p>
    <w:p w:rsidR="00FD2CDE" w:rsidRDefault="00F307CA">
      <w:pPr>
        <w:widowControl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1. Наименование государственной услуги  </w:t>
      </w:r>
    </w:p>
    <w:p w:rsidR="00FD2CDE" w:rsidRDefault="00F307CA">
      <w:pPr>
        <w:widowControl/>
        <w:jc w:val="both"/>
        <w:outlineLvl w:val="0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22.033.0 Предоставление социального обслуживания в стационарной форме</w:t>
      </w:r>
    </w:p>
    <w:p w:rsidR="00FD2CDE" w:rsidRDefault="00F307CA">
      <w:pPr>
        <w:widowControl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2. Категории потребителей государственной услуги  </w:t>
      </w:r>
    </w:p>
    <w:p w:rsidR="00FD2CDE" w:rsidRDefault="00F307CA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Гражданин</w:t>
      </w:r>
      <w:r>
        <w:rPr>
          <w:rFonts w:ascii="Times New Roman" w:hAnsi="Times New Roman" w:cs="Times New Roman"/>
          <w:sz w:val="24"/>
          <w:szCs w:val="24"/>
        </w:rPr>
        <w:t xml:space="preserve"> полностью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</w:t>
      </w:r>
    </w:p>
    <w:p w:rsidR="00FD2CDE" w:rsidRDefault="00F307CA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Гражданин частично утративший способн</w:t>
      </w:r>
      <w:r>
        <w:rPr>
          <w:rFonts w:ascii="Times New Roman" w:hAnsi="Times New Roman" w:cs="Times New Roman"/>
          <w:sz w:val="24"/>
          <w:szCs w:val="24"/>
        </w:rPr>
        <w:t>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</w:t>
      </w:r>
    </w:p>
    <w:p w:rsidR="00FD2CDE" w:rsidRDefault="00F307CA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Гражданин при отсутствии возможности обеспечения ухода (в том числ</w:t>
      </w:r>
      <w:r>
        <w:rPr>
          <w:rFonts w:ascii="Times New Roman" w:hAnsi="Times New Roman" w:cs="Times New Roman"/>
          <w:sz w:val="24"/>
          <w:szCs w:val="24"/>
        </w:rPr>
        <w:t>е временного) за инвалидом, ребенком, детьми, а также отсутствие попечения над ними;</w:t>
      </w:r>
    </w:p>
    <w:p w:rsidR="00FD2CDE" w:rsidRDefault="00F307CA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Гражданин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</w:t>
      </w:r>
      <w:r>
        <w:rPr>
          <w:rFonts w:ascii="Times New Roman" w:hAnsi="Times New Roman" w:cs="Times New Roman"/>
          <w:sz w:val="24"/>
          <w:szCs w:val="24"/>
        </w:rPr>
        <w:t>от и детей, оставшихся без попечения родителей;</w:t>
      </w:r>
    </w:p>
    <w:p w:rsidR="00FD2CDE" w:rsidRDefault="00F307CA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уход;</w:t>
      </w:r>
    </w:p>
    <w:p w:rsidR="00FD2CDE" w:rsidRDefault="00F307CA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Гражданин при наличии ребенка или детей (в том числе находящи</w:t>
      </w:r>
      <w:r>
        <w:rPr>
          <w:rFonts w:ascii="Times New Roman" w:hAnsi="Times New Roman" w:cs="Times New Roman"/>
          <w:sz w:val="24"/>
          <w:szCs w:val="24"/>
        </w:rPr>
        <w:t>хся под опекой, попечительством), испытывающих трудности в социальной адаптации;</w:t>
      </w:r>
    </w:p>
    <w:p w:rsidR="00FD2CDE" w:rsidRDefault="00F307CA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Гражданин при наличии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</w:t>
      </w:r>
      <w:r>
        <w:rPr>
          <w:rFonts w:ascii="Times New Roman" w:hAnsi="Times New Roman" w:cs="Times New Roman"/>
          <w:sz w:val="24"/>
          <w:szCs w:val="24"/>
        </w:rPr>
        <w:t>дающими психическими расстройствами, наличие насилия в семье;</w:t>
      </w:r>
    </w:p>
    <w:p w:rsidR="00FD2CDE" w:rsidRDefault="00F307CA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Гражданин при отсутствии работы и средств к существованию;</w:t>
      </w:r>
    </w:p>
    <w:p w:rsidR="00FD2CDE" w:rsidRDefault="00F307CA">
      <w:pPr>
        <w:pStyle w:val="ConsPlusNonformat"/>
        <w:widowControl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Гражданин при наличии иных обстоятельств, которые нормативными правовыми актами субъектов Российской Федерации признаны ухудшающими или</w:t>
      </w:r>
      <w:r>
        <w:rPr>
          <w:rFonts w:ascii="Times New Roman" w:hAnsi="Times New Roman" w:cs="Times New Roman"/>
          <w:sz w:val="24"/>
          <w:szCs w:val="24"/>
        </w:rPr>
        <w:t xml:space="preserve"> способны ухудшить условия его жизнедеятельности.</w:t>
      </w:r>
    </w:p>
    <w:p w:rsidR="00FD2CDE" w:rsidRDefault="00F307CA">
      <w:pPr>
        <w:widowControl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3. Показатели, характеризующие объем и (или)  качество государственной услуги  </w:t>
      </w:r>
    </w:p>
    <w:p w:rsidR="00FD2CDE" w:rsidRDefault="00F307CA">
      <w:pPr>
        <w:jc w:val="both"/>
        <w:rPr>
          <w:sz w:val="24"/>
          <w:szCs w:val="24"/>
        </w:rPr>
      </w:pPr>
      <w:bookmarkStart w:id="0" w:name="P410"/>
      <w:bookmarkEnd w:id="0"/>
      <w:r>
        <w:rPr>
          <w:sz w:val="24"/>
          <w:szCs w:val="24"/>
        </w:rPr>
        <w:t>3.1. Показатели, характеризующие качество государственной услуги</w:t>
      </w:r>
    </w:p>
    <w:tbl>
      <w:tblPr>
        <w:tblStyle w:val="aff"/>
        <w:tblW w:w="15372" w:type="dxa"/>
        <w:tblLayout w:type="fixed"/>
        <w:tblLook w:val="0000"/>
      </w:tblPr>
      <w:tblGrid>
        <w:gridCol w:w="1054"/>
        <w:gridCol w:w="471"/>
        <w:gridCol w:w="567"/>
        <w:gridCol w:w="1134"/>
        <w:gridCol w:w="709"/>
        <w:gridCol w:w="1134"/>
        <w:gridCol w:w="2693"/>
        <w:gridCol w:w="992"/>
        <w:gridCol w:w="806"/>
        <w:gridCol w:w="1276"/>
        <w:gridCol w:w="1156"/>
        <w:gridCol w:w="1113"/>
        <w:gridCol w:w="992"/>
        <w:gridCol w:w="1275"/>
      </w:tblGrid>
      <w:tr w:rsidR="00FD2CDE">
        <w:tc>
          <w:tcPr>
            <w:tcW w:w="1054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74" w:right="-74"/>
              <w:jc w:val="center"/>
            </w:pPr>
            <w:r>
              <w:rPr>
                <w:spacing w:val="-10"/>
              </w:rPr>
              <w:t>Уникальный</w:t>
            </w:r>
            <w:r>
              <w:t xml:space="preserve"> номер реестровой записи</w:t>
            </w:r>
          </w:p>
        </w:tc>
        <w:tc>
          <w:tcPr>
            <w:tcW w:w="2172" w:type="dxa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Показатель, характеризующи</w:t>
            </w:r>
            <w:r>
              <w:t>й содержание государственной услуги</w:t>
            </w:r>
          </w:p>
        </w:tc>
        <w:tc>
          <w:tcPr>
            <w:tcW w:w="184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491" w:type="dxa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Показатель качества государственной услуги</w:t>
            </w:r>
          </w:p>
        </w:tc>
        <w:tc>
          <w:tcPr>
            <w:tcW w:w="3545" w:type="dxa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Значение показателя качества государственной услуги</w:t>
            </w:r>
          </w:p>
        </w:tc>
        <w:tc>
          <w:tcPr>
            <w:tcW w:w="2267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rPr>
                <w:spacing w:val="-4"/>
              </w:rPr>
              <w:t xml:space="preserve">Допустимые (возможные) </w:t>
            </w:r>
            <w:r>
              <w:t xml:space="preserve">отклонения </w:t>
            </w:r>
            <w:r>
              <w:br/>
              <w:t>от установленн</w:t>
            </w:r>
            <w:r>
              <w:t>ых показателей качества государственной услуги</w:t>
            </w:r>
          </w:p>
        </w:tc>
      </w:tr>
      <w:tr w:rsidR="00FD2CDE">
        <w:trPr>
          <w:trHeight w:val="230"/>
        </w:trPr>
        <w:tc>
          <w:tcPr>
            <w:tcW w:w="1054" w:type="dxa"/>
            <w:vMerge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2172" w:type="dxa"/>
            <w:gridSpan w:val="3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наименование показателя</w:t>
            </w:r>
          </w:p>
          <w:p w:rsidR="00FD2CDE" w:rsidRDefault="00FD2CDE"/>
          <w:p w:rsidR="00FD2CDE" w:rsidRDefault="00FD2CDE"/>
        </w:tc>
        <w:tc>
          <w:tcPr>
            <w:tcW w:w="1843" w:type="dxa"/>
            <w:gridSpan w:val="2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lastRenderedPageBreak/>
              <w:t xml:space="preserve">наименование </w:t>
            </w:r>
            <w:r>
              <w:rPr>
                <w:spacing w:val="-4"/>
              </w:rPr>
              <w:t>показателя</w:t>
            </w:r>
          </w:p>
        </w:tc>
        <w:tc>
          <w:tcPr>
            <w:tcW w:w="2693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 xml:space="preserve">наименование </w:t>
            </w:r>
            <w:r>
              <w:rPr>
                <w:spacing w:val="-4"/>
              </w:rPr>
              <w:t>показателя</w:t>
            </w:r>
          </w:p>
        </w:tc>
        <w:tc>
          <w:tcPr>
            <w:tcW w:w="1798" w:type="dxa"/>
            <w:gridSpan w:val="2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единица измерения</w:t>
            </w:r>
          </w:p>
        </w:tc>
        <w:tc>
          <w:tcPr>
            <w:tcW w:w="1276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2026 год</w:t>
            </w:r>
          </w:p>
          <w:p w:rsidR="00FD2CDE" w:rsidRDefault="00F307CA">
            <w:pPr>
              <w:ind w:left="-57" w:right="-57"/>
              <w:jc w:val="center"/>
            </w:pPr>
            <w:r>
              <w:t xml:space="preserve">(очередной финансовый </w:t>
            </w:r>
            <w:r>
              <w:lastRenderedPageBreak/>
              <w:t>год)</w:t>
            </w:r>
          </w:p>
        </w:tc>
        <w:tc>
          <w:tcPr>
            <w:tcW w:w="1156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lastRenderedPageBreak/>
              <w:t>2027 год</w:t>
            </w:r>
          </w:p>
          <w:p w:rsidR="00FD2CDE" w:rsidRDefault="00F307CA">
            <w:pPr>
              <w:ind w:left="-57" w:right="-57"/>
              <w:jc w:val="center"/>
            </w:pPr>
            <w:r>
              <w:t xml:space="preserve">(1-й год планового </w:t>
            </w:r>
            <w:r>
              <w:lastRenderedPageBreak/>
              <w:t>периода)</w:t>
            </w:r>
          </w:p>
        </w:tc>
        <w:tc>
          <w:tcPr>
            <w:tcW w:w="1113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lastRenderedPageBreak/>
              <w:t>2028 год</w:t>
            </w:r>
          </w:p>
          <w:p w:rsidR="00FD2CDE" w:rsidRDefault="00F307CA">
            <w:pPr>
              <w:ind w:left="-57" w:right="-57"/>
              <w:jc w:val="center"/>
            </w:pPr>
            <w:r>
              <w:t xml:space="preserve">(2-й год планового </w:t>
            </w:r>
            <w:r>
              <w:lastRenderedPageBreak/>
              <w:t>периода)</w:t>
            </w:r>
          </w:p>
        </w:tc>
        <w:tc>
          <w:tcPr>
            <w:tcW w:w="992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lastRenderedPageBreak/>
              <w:t xml:space="preserve">в </w:t>
            </w:r>
            <w:r>
              <w:t>процен-тах</w:t>
            </w:r>
          </w:p>
        </w:tc>
        <w:tc>
          <w:tcPr>
            <w:tcW w:w="1275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в абсолют-</w:t>
            </w:r>
            <w:r>
              <w:rPr>
                <w:spacing w:val="-10"/>
              </w:rPr>
              <w:t>ных величинах</w:t>
            </w:r>
          </w:p>
        </w:tc>
      </w:tr>
      <w:tr w:rsidR="00FD2CDE">
        <w:tc>
          <w:tcPr>
            <w:tcW w:w="1054" w:type="dxa"/>
            <w:vMerge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2172" w:type="dxa"/>
            <w:gridSpan w:val="3"/>
            <w:vMerge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1843" w:type="dxa"/>
            <w:gridSpan w:val="2"/>
            <w:vMerge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2693" w:type="dxa"/>
            <w:vMerge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9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наименование</w:t>
            </w:r>
          </w:p>
        </w:tc>
        <w:tc>
          <w:tcPr>
            <w:tcW w:w="8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 xml:space="preserve">код </w:t>
            </w:r>
            <w:r>
              <w:br/>
              <w:t xml:space="preserve">по </w:t>
            </w:r>
            <w:r>
              <w:lastRenderedPageBreak/>
              <w:t>ОКЕИ</w:t>
            </w:r>
          </w:p>
        </w:tc>
        <w:tc>
          <w:tcPr>
            <w:tcW w:w="1276" w:type="dxa"/>
            <w:vMerge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1156" w:type="dxa"/>
            <w:vMerge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1113" w:type="dxa"/>
            <w:vMerge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992" w:type="dxa"/>
            <w:vMerge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1275" w:type="dxa"/>
            <w:vMerge/>
            <w:noWrap/>
          </w:tcPr>
          <w:p w:rsidR="00FD2CDE" w:rsidRDefault="00FD2CDE">
            <w:pPr>
              <w:ind w:left="-57" w:right="-57"/>
            </w:pPr>
          </w:p>
        </w:tc>
      </w:tr>
      <w:tr w:rsidR="00FD2CDE">
        <w:tc>
          <w:tcPr>
            <w:tcW w:w="105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lastRenderedPageBreak/>
              <w:t>1</w:t>
            </w:r>
          </w:p>
        </w:tc>
        <w:tc>
          <w:tcPr>
            <w:tcW w:w="47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4</w:t>
            </w: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5</w:t>
            </w: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6</w:t>
            </w:r>
          </w:p>
        </w:tc>
        <w:tc>
          <w:tcPr>
            <w:tcW w:w="269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7</w:t>
            </w:r>
          </w:p>
        </w:tc>
        <w:tc>
          <w:tcPr>
            <w:tcW w:w="9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8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9</w:t>
            </w: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10</w:t>
            </w:r>
          </w:p>
        </w:tc>
        <w:tc>
          <w:tcPr>
            <w:tcW w:w="115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11</w:t>
            </w:r>
          </w:p>
        </w:tc>
        <w:tc>
          <w:tcPr>
            <w:tcW w:w="111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12</w:t>
            </w:r>
          </w:p>
        </w:tc>
        <w:tc>
          <w:tcPr>
            <w:tcW w:w="9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13</w:t>
            </w:r>
          </w:p>
        </w:tc>
        <w:tc>
          <w:tcPr>
            <w:tcW w:w="12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14</w:t>
            </w:r>
          </w:p>
        </w:tc>
      </w:tr>
      <w:tr w:rsidR="00FD2CDE">
        <w:tc>
          <w:tcPr>
            <w:tcW w:w="1054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74" w:right="-74"/>
              <w:jc w:val="center"/>
            </w:pPr>
            <w:r>
              <w:rPr>
                <w:spacing w:val="-10"/>
              </w:rPr>
              <w:t>870000О.99.0.АЭ12АА00000</w:t>
            </w:r>
          </w:p>
        </w:tc>
        <w:tc>
          <w:tcPr>
            <w:tcW w:w="47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56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7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269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jc w:val="both"/>
              <w:rPr>
                <w:sz w:val="16"/>
                <w:szCs w:val="16"/>
              </w:rPr>
            </w:pPr>
            <w:r>
              <w:t>010. 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9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jc w:val="center"/>
              <w:rPr>
                <w:sz w:val="16"/>
                <w:szCs w:val="16"/>
              </w:rPr>
            </w:pPr>
            <w:r>
              <w:t>Процент</w:t>
            </w:r>
          </w:p>
        </w:tc>
        <w:tc>
          <w:tcPr>
            <w:tcW w:w="8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744</w:t>
            </w: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95</w:t>
            </w:r>
          </w:p>
        </w:tc>
        <w:tc>
          <w:tcPr>
            <w:tcW w:w="115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95</w:t>
            </w:r>
          </w:p>
        </w:tc>
        <w:tc>
          <w:tcPr>
            <w:tcW w:w="111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95</w:t>
            </w:r>
          </w:p>
        </w:tc>
        <w:tc>
          <w:tcPr>
            <w:tcW w:w="9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5</w:t>
            </w:r>
          </w:p>
        </w:tc>
        <w:tc>
          <w:tcPr>
            <w:tcW w:w="127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  <w:jc w:val="center"/>
            </w:pPr>
          </w:p>
        </w:tc>
      </w:tr>
      <w:tr w:rsidR="00FD2CDE">
        <w:trPr>
          <w:trHeight w:val="230"/>
        </w:trPr>
        <w:tc>
          <w:tcPr>
            <w:tcW w:w="1054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/>
        </w:tc>
        <w:tc>
          <w:tcPr>
            <w:tcW w:w="471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567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1134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709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1134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2693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011. 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992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jc w:val="center"/>
            </w:pPr>
            <w:r>
              <w:t>Процент</w:t>
            </w:r>
          </w:p>
        </w:tc>
        <w:tc>
          <w:tcPr>
            <w:tcW w:w="806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744</w:t>
            </w:r>
          </w:p>
        </w:tc>
        <w:tc>
          <w:tcPr>
            <w:tcW w:w="1276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95</w:t>
            </w:r>
          </w:p>
        </w:tc>
        <w:tc>
          <w:tcPr>
            <w:tcW w:w="1156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95</w:t>
            </w:r>
          </w:p>
        </w:tc>
        <w:tc>
          <w:tcPr>
            <w:tcW w:w="1113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95</w:t>
            </w:r>
          </w:p>
        </w:tc>
        <w:tc>
          <w:tcPr>
            <w:tcW w:w="992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5</w:t>
            </w:r>
          </w:p>
        </w:tc>
        <w:tc>
          <w:tcPr>
            <w:tcW w:w="1275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  <w:jc w:val="center"/>
            </w:pPr>
          </w:p>
        </w:tc>
      </w:tr>
      <w:tr w:rsidR="00FD2CDE">
        <w:trPr>
          <w:trHeight w:val="230"/>
        </w:trPr>
        <w:tc>
          <w:tcPr>
            <w:tcW w:w="1054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/>
        </w:tc>
        <w:tc>
          <w:tcPr>
            <w:tcW w:w="471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567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1134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709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1134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2693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012. Удовлетворенность получателей социальных услуг в оказанных социальных услугах</w:t>
            </w:r>
          </w:p>
        </w:tc>
        <w:tc>
          <w:tcPr>
            <w:tcW w:w="992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jc w:val="center"/>
            </w:pPr>
            <w:r>
              <w:t>Процент</w:t>
            </w:r>
          </w:p>
        </w:tc>
        <w:tc>
          <w:tcPr>
            <w:tcW w:w="806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744</w:t>
            </w:r>
          </w:p>
        </w:tc>
        <w:tc>
          <w:tcPr>
            <w:tcW w:w="1276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95</w:t>
            </w:r>
          </w:p>
        </w:tc>
        <w:tc>
          <w:tcPr>
            <w:tcW w:w="1156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95</w:t>
            </w:r>
          </w:p>
        </w:tc>
        <w:tc>
          <w:tcPr>
            <w:tcW w:w="1113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95</w:t>
            </w:r>
          </w:p>
        </w:tc>
        <w:tc>
          <w:tcPr>
            <w:tcW w:w="992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5</w:t>
            </w:r>
          </w:p>
        </w:tc>
        <w:tc>
          <w:tcPr>
            <w:tcW w:w="1275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</w:tr>
      <w:tr w:rsidR="00FD2CDE">
        <w:trPr>
          <w:trHeight w:val="230"/>
        </w:trPr>
        <w:tc>
          <w:tcPr>
            <w:tcW w:w="1054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/>
        </w:tc>
        <w:tc>
          <w:tcPr>
            <w:tcW w:w="471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567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1134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709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1134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2693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013. Укомплектование организации специалистами, оказывающими социальные услуги</w:t>
            </w:r>
          </w:p>
        </w:tc>
        <w:tc>
          <w:tcPr>
            <w:tcW w:w="992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jc w:val="center"/>
            </w:pPr>
            <w:r>
              <w:t>Процент</w:t>
            </w:r>
          </w:p>
        </w:tc>
        <w:tc>
          <w:tcPr>
            <w:tcW w:w="806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744</w:t>
            </w:r>
          </w:p>
        </w:tc>
        <w:tc>
          <w:tcPr>
            <w:tcW w:w="1276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95</w:t>
            </w:r>
          </w:p>
        </w:tc>
        <w:tc>
          <w:tcPr>
            <w:tcW w:w="1156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95</w:t>
            </w:r>
          </w:p>
        </w:tc>
        <w:tc>
          <w:tcPr>
            <w:tcW w:w="1113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95</w:t>
            </w:r>
          </w:p>
        </w:tc>
        <w:tc>
          <w:tcPr>
            <w:tcW w:w="992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5</w:t>
            </w:r>
          </w:p>
        </w:tc>
        <w:tc>
          <w:tcPr>
            <w:tcW w:w="1275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  <w:jc w:val="center"/>
            </w:pPr>
          </w:p>
        </w:tc>
      </w:tr>
      <w:tr w:rsidR="00FD2CDE">
        <w:trPr>
          <w:trHeight w:val="230"/>
        </w:trPr>
        <w:tc>
          <w:tcPr>
            <w:tcW w:w="1054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/>
        </w:tc>
        <w:tc>
          <w:tcPr>
            <w:tcW w:w="471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567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1134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709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1134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2693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014. 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992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jc w:val="center"/>
            </w:pPr>
            <w:r>
              <w:t>Процент</w:t>
            </w:r>
          </w:p>
        </w:tc>
        <w:tc>
          <w:tcPr>
            <w:tcW w:w="806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744</w:t>
            </w:r>
          </w:p>
        </w:tc>
        <w:tc>
          <w:tcPr>
            <w:tcW w:w="1276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95</w:t>
            </w:r>
          </w:p>
        </w:tc>
        <w:tc>
          <w:tcPr>
            <w:tcW w:w="1156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95</w:t>
            </w:r>
          </w:p>
        </w:tc>
        <w:tc>
          <w:tcPr>
            <w:tcW w:w="1113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95</w:t>
            </w:r>
          </w:p>
        </w:tc>
        <w:tc>
          <w:tcPr>
            <w:tcW w:w="992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5</w:t>
            </w:r>
          </w:p>
        </w:tc>
        <w:tc>
          <w:tcPr>
            <w:tcW w:w="1275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  <w:jc w:val="center"/>
            </w:pPr>
          </w:p>
        </w:tc>
      </w:tr>
      <w:tr w:rsidR="00FD2CDE">
        <w:trPr>
          <w:trHeight w:val="230"/>
        </w:trPr>
        <w:tc>
          <w:tcPr>
            <w:tcW w:w="1054" w:type="dxa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/>
        </w:tc>
        <w:tc>
          <w:tcPr>
            <w:tcW w:w="471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567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1134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709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1134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</w:pPr>
          </w:p>
        </w:tc>
        <w:tc>
          <w:tcPr>
            <w:tcW w:w="2693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015.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информации;дубл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ирование текстовых сообщений голосовыми сообщениями, оснащение учреждения социального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мощи</w:t>
            </w:r>
          </w:p>
        </w:tc>
        <w:tc>
          <w:tcPr>
            <w:tcW w:w="992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jc w:val="center"/>
            </w:pPr>
            <w:r>
              <w:lastRenderedPageBreak/>
              <w:t>Процент</w:t>
            </w:r>
          </w:p>
        </w:tc>
        <w:tc>
          <w:tcPr>
            <w:tcW w:w="806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744</w:t>
            </w:r>
          </w:p>
        </w:tc>
        <w:tc>
          <w:tcPr>
            <w:tcW w:w="1276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95</w:t>
            </w:r>
          </w:p>
        </w:tc>
        <w:tc>
          <w:tcPr>
            <w:tcW w:w="1156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95</w:t>
            </w:r>
          </w:p>
        </w:tc>
        <w:tc>
          <w:tcPr>
            <w:tcW w:w="1113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95</w:t>
            </w:r>
          </w:p>
        </w:tc>
        <w:tc>
          <w:tcPr>
            <w:tcW w:w="992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307CA">
            <w:pPr>
              <w:ind w:left="-57" w:right="-57"/>
              <w:jc w:val="center"/>
            </w:pPr>
            <w:r>
              <w:t>5</w:t>
            </w:r>
          </w:p>
        </w:tc>
        <w:tc>
          <w:tcPr>
            <w:tcW w:w="1275" w:type="dxa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2CDE" w:rsidRDefault="00FD2CDE">
            <w:pPr>
              <w:ind w:left="-57" w:right="-57"/>
              <w:jc w:val="center"/>
            </w:pPr>
          </w:p>
        </w:tc>
      </w:tr>
    </w:tbl>
    <w:p w:rsidR="00FD2CDE" w:rsidRDefault="00F307CA">
      <w:pPr>
        <w:jc w:val="both"/>
        <w:rPr>
          <w:sz w:val="24"/>
          <w:szCs w:val="24"/>
        </w:rPr>
      </w:pPr>
      <w:bookmarkStart w:id="1" w:name="P493"/>
      <w:bookmarkEnd w:id="1"/>
      <w:r>
        <w:rPr>
          <w:sz w:val="24"/>
          <w:szCs w:val="24"/>
        </w:rPr>
        <w:lastRenderedPageBreak/>
        <w:t>3.2. Показатели, характеризующие объем государственной услуги</w:t>
      </w:r>
    </w:p>
    <w:tbl>
      <w:tblPr>
        <w:tblStyle w:val="aff"/>
        <w:tblW w:w="15593" w:type="dxa"/>
        <w:tblLayout w:type="fixed"/>
        <w:tblLook w:val="0000"/>
      </w:tblPr>
      <w:tblGrid>
        <w:gridCol w:w="1099"/>
        <w:gridCol w:w="805"/>
        <w:gridCol w:w="708"/>
        <w:gridCol w:w="709"/>
        <w:gridCol w:w="708"/>
        <w:gridCol w:w="710"/>
        <w:gridCol w:w="1179"/>
        <w:gridCol w:w="709"/>
        <w:gridCol w:w="709"/>
        <w:gridCol w:w="1135"/>
        <w:gridCol w:w="992"/>
        <w:gridCol w:w="1135"/>
        <w:gridCol w:w="1134"/>
        <w:gridCol w:w="991"/>
        <w:gridCol w:w="992"/>
        <w:gridCol w:w="800"/>
        <w:gridCol w:w="1078"/>
      </w:tblGrid>
      <w:tr w:rsidR="00FD2CDE">
        <w:tc>
          <w:tcPr>
            <w:tcW w:w="1100" w:type="dxa"/>
            <w:vMerge w:val="restart"/>
            <w:noWrap/>
          </w:tcPr>
          <w:p w:rsidR="00FD2CDE" w:rsidRDefault="00F307CA">
            <w:pPr>
              <w:ind w:left="-57" w:right="-57"/>
              <w:jc w:val="center"/>
            </w:pPr>
            <w:r>
              <w:t>Уникальный номер реестровой записи</w:t>
            </w:r>
          </w:p>
        </w:tc>
        <w:tc>
          <w:tcPr>
            <w:tcW w:w="2222" w:type="dxa"/>
            <w:gridSpan w:val="3"/>
            <w:noWrap/>
          </w:tcPr>
          <w:p w:rsidR="00FD2CDE" w:rsidRDefault="00F307CA">
            <w:pPr>
              <w:ind w:left="-57" w:right="-57"/>
              <w:jc w:val="center"/>
            </w:pPr>
            <w:r>
              <w:t xml:space="preserve">Показатель, характеризующий содержание государственной </w:t>
            </w:r>
            <w:r>
              <w:br/>
              <w:t>услуги</w:t>
            </w:r>
          </w:p>
        </w:tc>
        <w:tc>
          <w:tcPr>
            <w:tcW w:w="1418" w:type="dxa"/>
            <w:gridSpan w:val="2"/>
            <w:noWrap/>
          </w:tcPr>
          <w:p w:rsidR="00FD2CDE" w:rsidRDefault="00F307CA">
            <w:pPr>
              <w:ind w:left="-57" w:right="-57"/>
              <w:jc w:val="center"/>
            </w:pPr>
            <w:r>
              <w:t>Показатель, характери-зующий</w:t>
            </w:r>
            <w:r>
              <w:rPr>
                <w:spacing w:val="-6"/>
              </w:rPr>
              <w:t>условия (формы)</w:t>
            </w:r>
            <w:r>
              <w:rPr>
                <w:spacing w:val="-8"/>
              </w:rPr>
              <w:t>оказания государ-</w:t>
            </w:r>
            <w:r>
              <w:t>ственной услуги</w:t>
            </w:r>
          </w:p>
        </w:tc>
        <w:tc>
          <w:tcPr>
            <w:tcW w:w="2596" w:type="dxa"/>
            <w:gridSpan w:val="3"/>
            <w:noWrap/>
          </w:tcPr>
          <w:p w:rsidR="00FD2CDE" w:rsidRDefault="00F307CA">
            <w:pPr>
              <w:ind w:left="-57" w:right="-57"/>
              <w:jc w:val="center"/>
            </w:pPr>
            <w:r>
              <w:t>Показатель объема государственной услуги</w:t>
            </w:r>
          </w:p>
        </w:tc>
        <w:tc>
          <w:tcPr>
            <w:tcW w:w="3262" w:type="dxa"/>
            <w:gridSpan w:val="3"/>
            <w:noWrap/>
          </w:tcPr>
          <w:p w:rsidR="00FD2CDE" w:rsidRDefault="00F307CA">
            <w:pPr>
              <w:ind w:left="-57" w:right="-57"/>
              <w:jc w:val="center"/>
            </w:pPr>
            <w:r>
              <w:t>Значение показателя объема государственной услуги</w:t>
            </w:r>
          </w:p>
        </w:tc>
        <w:tc>
          <w:tcPr>
            <w:tcW w:w="3117" w:type="dxa"/>
            <w:gridSpan w:val="3"/>
            <w:noWrap/>
          </w:tcPr>
          <w:p w:rsidR="00FD2CDE" w:rsidRDefault="00F307CA">
            <w:pPr>
              <w:ind w:left="-57" w:right="-57"/>
              <w:jc w:val="center"/>
            </w:pPr>
            <w:r>
              <w:t>Размер платы</w:t>
            </w:r>
          </w:p>
          <w:p w:rsidR="00FD2CDE" w:rsidRDefault="00F307CA">
            <w:pPr>
              <w:ind w:left="-57" w:right="-57"/>
              <w:jc w:val="center"/>
            </w:pPr>
            <w:r>
              <w:t>(цена, тариф)</w:t>
            </w:r>
          </w:p>
        </w:tc>
        <w:tc>
          <w:tcPr>
            <w:tcW w:w="1878" w:type="dxa"/>
            <w:gridSpan w:val="2"/>
            <w:noWrap/>
          </w:tcPr>
          <w:p w:rsidR="00FD2CDE" w:rsidRDefault="00F307CA">
            <w:pPr>
              <w:ind w:left="-57" w:right="-57"/>
              <w:jc w:val="center"/>
            </w:pPr>
            <w:r>
              <w:t xml:space="preserve">Допустимые (возможные) отклонения </w:t>
            </w:r>
            <w:r>
              <w:br/>
              <w:t>от установленных показателей объема государственной услуги</w:t>
            </w:r>
          </w:p>
        </w:tc>
      </w:tr>
      <w:tr w:rsidR="00FD2CDE">
        <w:trPr>
          <w:trHeight w:val="230"/>
        </w:trPr>
        <w:tc>
          <w:tcPr>
            <w:tcW w:w="1100" w:type="dxa"/>
            <w:vMerge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805" w:type="dxa"/>
            <w:vMerge w:val="restart"/>
            <w:noWrap/>
          </w:tcPr>
          <w:p w:rsidR="00FD2CDE" w:rsidRDefault="00F307CA">
            <w:pPr>
              <w:ind w:left="-68" w:right="-68"/>
              <w:jc w:val="center"/>
            </w:pPr>
            <w:r>
              <w:t>наиме-нова-ниепоказа-теля</w:t>
            </w:r>
          </w:p>
        </w:tc>
        <w:tc>
          <w:tcPr>
            <w:tcW w:w="708" w:type="dxa"/>
            <w:vMerge w:val="restart"/>
            <w:noWrap/>
          </w:tcPr>
          <w:p w:rsidR="00FD2CDE" w:rsidRDefault="00F307CA">
            <w:pPr>
              <w:ind w:left="-68" w:right="-68"/>
              <w:jc w:val="center"/>
            </w:pPr>
            <w:r>
              <w:t>наиме-нова-ниепоказа-теля</w:t>
            </w:r>
          </w:p>
        </w:tc>
        <w:tc>
          <w:tcPr>
            <w:tcW w:w="709" w:type="dxa"/>
            <w:vMerge w:val="restart"/>
            <w:noWrap/>
          </w:tcPr>
          <w:p w:rsidR="00FD2CDE" w:rsidRDefault="00F307CA">
            <w:pPr>
              <w:ind w:left="-68" w:right="-68"/>
              <w:jc w:val="center"/>
            </w:pPr>
            <w:r>
              <w:t>наиме-нова-ниепоказа-теля</w:t>
            </w:r>
          </w:p>
        </w:tc>
        <w:tc>
          <w:tcPr>
            <w:tcW w:w="708" w:type="dxa"/>
            <w:vMerge w:val="restart"/>
            <w:noWrap/>
          </w:tcPr>
          <w:p w:rsidR="00FD2CDE" w:rsidRDefault="00F307CA">
            <w:pPr>
              <w:ind w:left="-68" w:right="-68"/>
              <w:jc w:val="center"/>
            </w:pPr>
            <w:r>
              <w:t>наиме-нова-ниепоказа-теля</w:t>
            </w:r>
          </w:p>
        </w:tc>
        <w:tc>
          <w:tcPr>
            <w:tcW w:w="710" w:type="dxa"/>
            <w:vMerge w:val="restart"/>
            <w:noWrap/>
          </w:tcPr>
          <w:p w:rsidR="00FD2CDE" w:rsidRDefault="00F307CA">
            <w:pPr>
              <w:ind w:left="-68" w:right="-68"/>
              <w:jc w:val="center"/>
            </w:pPr>
            <w:r>
              <w:t>наиме-нова-ниепоказа-теля</w:t>
            </w:r>
          </w:p>
        </w:tc>
        <w:tc>
          <w:tcPr>
            <w:tcW w:w="1179" w:type="dxa"/>
            <w:vMerge w:val="restart"/>
            <w:noWrap/>
          </w:tcPr>
          <w:p w:rsidR="00FD2CDE" w:rsidRDefault="00F307CA">
            <w:pPr>
              <w:ind w:left="-68" w:right="-68"/>
              <w:jc w:val="center"/>
            </w:pPr>
            <w:r>
              <w:t>наименова-ние показа-теля</w:t>
            </w:r>
          </w:p>
        </w:tc>
        <w:tc>
          <w:tcPr>
            <w:tcW w:w="1417" w:type="dxa"/>
            <w:gridSpan w:val="2"/>
            <w:noWrap/>
          </w:tcPr>
          <w:p w:rsidR="00FD2CDE" w:rsidRDefault="00F307CA">
            <w:pPr>
              <w:ind w:left="-68" w:right="-68"/>
              <w:jc w:val="center"/>
            </w:pPr>
            <w:r>
              <w:t>единица измерения</w:t>
            </w:r>
          </w:p>
        </w:tc>
        <w:tc>
          <w:tcPr>
            <w:tcW w:w="1135" w:type="dxa"/>
            <w:vMerge w:val="restart"/>
            <w:noWrap/>
          </w:tcPr>
          <w:p w:rsidR="00FD2CDE" w:rsidRDefault="00F307CA">
            <w:pPr>
              <w:ind w:left="-68" w:right="-68"/>
              <w:jc w:val="center"/>
            </w:pPr>
            <w:r>
              <w:t xml:space="preserve">2026 год (очередной </w:t>
            </w:r>
            <w:r>
              <w:rPr>
                <w:spacing w:val="-6"/>
              </w:rPr>
              <w:t>финансовый</w:t>
            </w:r>
            <w:r>
              <w:t xml:space="preserve"> год)</w:t>
            </w:r>
          </w:p>
        </w:tc>
        <w:tc>
          <w:tcPr>
            <w:tcW w:w="992" w:type="dxa"/>
            <w:vMerge w:val="restart"/>
            <w:noWrap/>
          </w:tcPr>
          <w:p w:rsidR="00FD2CDE" w:rsidRDefault="00F307CA">
            <w:pPr>
              <w:ind w:left="-68" w:right="-68"/>
              <w:jc w:val="center"/>
            </w:pPr>
            <w:r>
              <w:t>2027 год</w:t>
            </w:r>
          </w:p>
          <w:p w:rsidR="00FD2CDE" w:rsidRDefault="00F307CA">
            <w:pPr>
              <w:ind w:left="-68" w:right="-68"/>
              <w:jc w:val="center"/>
            </w:pPr>
            <w:r>
              <w:t>(1-й год планового периода)</w:t>
            </w:r>
          </w:p>
        </w:tc>
        <w:tc>
          <w:tcPr>
            <w:tcW w:w="1135" w:type="dxa"/>
            <w:vMerge w:val="restart"/>
            <w:noWrap/>
          </w:tcPr>
          <w:p w:rsidR="00FD2CDE" w:rsidRDefault="00F307CA">
            <w:pPr>
              <w:ind w:left="-68" w:right="-68"/>
              <w:jc w:val="center"/>
            </w:pPr>
            <w:r>
              <w:t>2028 год</w:t>
            </w:r>
          </w:p>
          <w:p w:rsidR="00FD2CDE" w:rsidRDefault="00F307CA">
            <w:pPr>
              <w:ind w:left="-68" w:right="-68"/>
              <w:jc w:val="center"/>
            </w:pPr>
            <w:r>
              <w:t>(2-й год планового периода)</w:t>
            </w:r>
          </w:p>
        </w:tc>
        <w:tc>
          <w:tcPr>
            <w:tcW w:w="1134" w:type="dxa"/>
            <w:vMerge w:val="restart"/>
            <w:noWrap/>
          </w:tcPr>
          <w:p w:rsidR="00FD2CDE" w:rsidRDefault="00F307CA">
            <w:pPr>
              <w:ind w:left="-68" w:right="-68"/>
              <w:jc w:val="center"/>
            </w:pPr>
            <w:r>
              <w:t xml:space="preserve">2026 год (очередной </w:t>
            </w:r>
            <w:r>
              <w:rPr>
                <w:spacing w:val="-4"/>
              </w:rPr>
              <w:t>финансовый</w:t>
            </w:r>
            <w:r>
              <w:t xml:space="preserve"> год)</w:t>
            </w:r>
          </w:p>
        </w:tc>
        <w:tc>
          <w:tcPr>
            <w:tcW w:w="991" w:type="dxa"/>
            <w:vMerge w:val="restart"/>
            <w:noWrap/>
          </w:tcPr>
          <w:p w:rsidR="00FD2CDE" w:rsidRDefault="00F307CA">
            <w:pPr>
              <w:ind w:left="-68" w:right="-68"/>
              <w:jc w:val="center"/>
            </w:pPr>
            <w:r>
              <w:t>2027 год</w:t>
            </w:r>
          </w:p>
          <w:p w:rsidR="00FD2CDE" w:rsidRDefault="00F307CA">
            <w:pPr>
              <w:ind w:left="-68" w:right="-68"/>
              <w:jc w:val="center"/>
            </w:pPr>
            <w:r>
              <w:t>(1-й год планового периода)</w:t>
            </w:r>
          </w:p>
        </w:tc>
        <w:tc>
          <w:tcPr>
            <w:tcW w:w="992" w:type="dxa"/>
            <w:vMerge w:val="restart"/>
            <w:noWrap/>
          </w:tcPr>
          <w:p w:rsidR="00FD2CDE" w:rsidRDefault="00F307CA">
            <w:pPr>
              <w:ind w:left="-68" w:right="-68"/>
              <w:jc w:val="center"/>
            </w:pPr>
            <w:r>
              <w:t>2028 год</w:t>
            </w:r>
          </w:p>
          <w:p w:rsidR="00FD2CDE" w:rsidRDefault="00F307CA">
            <w:pPr>
              <w:ind w:left="-68" w:right="-68"/>
              <w:jc w:val="center"/>
            </w:pPr>
            <w:r>
              <w:t>(2-й год планового периода)</w:t>
            </w:r>
          </w:p>
        </w:tc>
        <w:tc>
          <w:tcPr>
            <w:tcW w:w="800" w:type="dxa"/>
            <w:vMerge w:val="restart"/>
            <w:noWrap/>
          </w:tcPr>
          <w:p w:rsidR="00FD2CDE" w:rsidRDefault="00F307CA">
            <w:pPr>
              <w:ind w:left="-68" w:right="-68"/>
              <w:jc w:val="center"/>
            </w:pPr>
            <w:r>
              <w:t>в про-центах</w:t>
            </w:r>
          </w:p>
        </w:tc>
        <w:tc>
          <w:tcPr>
            <w:tcW w:w="1078" w:type="dxa"/>
            <w:vMerge w:val="restart"/>
            <w:noWrap/>
          </w:tcPr>
          <w:p w:rsidR="00FD2CDE" w:rsidRDefault="00F307CA">
            <w:pPr>
              <w:ind w:left="-68" w:right="-68"/>
              <w:jc w:val="center"/>
            </w:pPr>
            <w:r>
              <w:t>в абсолют-ных величинах</w:t>
            </w:r>
          </w:p>
        </w:tc>
      </w:tr>
      <w:tr w:rsidR="00FD2CDE">
        <w:tc>
          <w:tcPr>
            <w:tcW w:w="1100" w:type="dxa"/>
            <w:vMerge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805" w:type="dxa"/>
            <w:vMerge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708" w:type="dxa"/>
            <w:vMerge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709" w:type="dxa"/>
            <w:vMerge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708" w:type="dxa"/>
            <w:vMerge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710" w:type="dxa"/>
            <w:vMerge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1179" w:type="dxa"/>
            <w:vMerge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709" w:type="dxa"/>
            <w:noWrap/>
          </w:tcPr>
          <w:p w:rsidR="00FD2CDE" w:rsidRDefault="00F307CA">
            <w:pPr>
              <w:ind w:left="-57" w:right="-57"/>
              <w:jc w:val="center"/>
            </w:pPr>
            <w:r>
              <w:t>наиме-нование</w:t>
            </w:r>
          </w:p>
        </w:tc>
        <w:tc>
          <w:tcPr>
            <w:tcW w:w="709" w:type="dxa"/>
            <w:noWrap/>
          </w:tcPr>
          <w:p w:rsidR="00FD2CDE" w:rsidRDefault="00F307CA">
            <w:pPr>
              <w:ind w:left="-57" w:right="-57"/>
              <w:jc w:val="center"/>
            </w:pPr>
            <w:r>
              <w:t xml:space="preserve">код </w:t>
            </w:r>
            <w:r>
              <w:br/>
              <w:t>по ОКЕИ</w:t>
            </w:r>
          </w:p>
        </w:tc>
        <w:tc>
          <w:tcPr>
            <w:tcW w:w="1135" w:type="dxa"/>
            <w:vMerge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992" w:type="dxa"/>
            <w:vMerge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1135" w:type="dxa"/>
            <w:vMerge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1134" w:type="dxa"/>
            <w:vMerge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991" w:type="dxa"/>
            <w:vMerge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992" w:type="dxa"/>
            <w:vMerge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800" w:type="dxa"/>
            <w:vMerge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1078" w:type="dxa"/>
            <w:vMerge/>
            <w:noWrap/>
          </w:tcPr>
          <w:p w:rsidR="00FD2CDE" w:rsidRDefault="00FD2CDE">
            <w:pPr>
              <w:ind w:left="-57" w:right="-57"/>
            </w:pPr>
          </w:p>
        </w:tc>
      </w:tr>
      <w:tr w:rsidR="00FD2CDE">
        <w:trPr>
          <w:trHeight w:val="172"/>
        </w:trPr>
        <w:tc>
          <w:tcPr>
            <w:tcW w:w="1100" w:type="dxa"/>
            <w:noWrap/>
          </w:tcPr>
          <w:p w:rsidR="00FD2CDE" w:rsidRDefault="00F307CA">
            <w:pPr>
              <w:ind w:left="-57" w:right="-57"/>
              <w:jc w:val="center"/>
            </w:pPr>
            <w:r>
              <w:t>1</w:t>
            </w:r>
          </w:p>
        </w:tc>
        <w:tc>
          <w:tcPr>
            <w:tcW w:w="805" w:type="dxa"/>
            <w:noWrap/>
          </w:tcPr>
          <w:p w:rsidR="00FD2CDE" w:rsidRDefault="00F307CA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708" w:type="dxa"/>
            <w:noWrap/>
          </w:tcPr>
          <w:p w:rsidR="00FD2CDE" w:rsidRDefault="00F307CA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709" w:type="dxa"/>
            <w:noWrap/>
          </w:tcPr>
          <w:p w:rsidR="00FD2CDE" w:rsidRDefault="00F307CA">
            <w:pPr>
              <w:ind w:left="-57" w:right="-57"/>
            </w:pPr>
            <w:r>
              <w:t>4</w:t>
            </w:r>
          </w:p>
        </w:tc>
        <w:tc>
          <w:tcPr>
            <w:tcW w:w="708" w:type="dxa"/>
            <w:noWrap/>
          </w:tcPr>
          <w:p w:rsidR="00FD2CDE" w:rsidRDefault="00F307CA">
            <w:pPr>
              <w:ind w:left="-57" w:right="-57"/>
            </w:pPr>
            <w:r>
              <w:t>5</w:t>
            </w:r>
          </w:p>
        </w:tc>
        <w:tc>
          <w:tcPr>
            <w:tcW w:w="710" w:type="dxa"/>
            <w:noWrap/>
          </w:tcPr>
          <w:p w:rsidR="00FD2CDE" w:rsidRDefault="00F307CA">
            <w:pPr>
              <w:ind w:left="-57" w:right="-57"/>
              <w:jc w:val="center"/>
            </w:pPr>
            <w:r>
              <w:t>6</w:t>
            </w:r>
          </w:p>
        </w:tc>
        <w:tc>
          <w:tcPr>
            <w:tcW w:w="1179" w:type="dxa"/>
            <w:noWrap/>
          </w:tcPr>
          <w:p w:rsidR="00FD2CDE" w:rsidRDefault="00F307CA">
            <w:pPr>
              <w:ind w:left="-57" w:right="-57"/>
              <w:jc w:val="center"/>
            </w:pPr>
            <w:r>
              <w:t>7</w:t>
            </w:r>
          </w:p>
        </w:tc>
        <w:tc>
          <w:tcPr>
            <w:tcW w:w="709" w:type="dxa"/>
            <w:noWrap/>
          </w:tcPr>
          <w:p w:rsidR="00FD2CDE" w:rsidRDefault="00F307CA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709" w:type="dxa"/>
            <w:noWrap/>
          </w:tcPr>
          <w:p w:rsidR="00FD2CDE" w:rsidRDefault="00F307CA">
            <w:pPr>
              <w:ind w:left="-57" w:right="-57"/>
              <w:jc w:val="center"/>
            </w:pPr>
            <w:r>
              <w:t>9</w:t>
            </w:r>
          </w:p>
        </w:tc>
        <w:tc>
          <w:tcPr>
            <w:tcW w:w="1135" w:type="dxa"/>
            <w:noWrap/>
          </w:tcPr>
          <w:p w:rsidR="00FD2CDE" w:rsidRDefault="00F307CA">
            <w:pPr>
              <w:ind w:left="-57" w:right="-57"/>
              <w:jc w:val="center"/>
            </w:pPr>
            <w:r>
              <w:t>10</w:t>
            </w:r>
          </w:p>
        </w:tc>
        <w:tc>
          <w:tcPr>
            <w:tcW w:w="992" w:type="dxa"/>
            <w:noWrap/>
          </w:tcPr>
          <w:p w:rsidR="00FD2CDE" w:rsidRDefault="00F307CA">
            <w:pPr>
              <w:ind w:left="-57" w:right="-57"/>
              <w:jc w:val="center"/>
            </w:pPr>
            <w:r>
              <w:t>11</w:t>
            </w:r>
          </w:p>
        </w:tc>
        <w:tc>
          <w:tcPr>
            <w:tcW w:w="1135" w:type="dxa"/>
            <w:noWrap/>
          </w:tcPr>
          <w:p w:rsidR="00FD2CDE" w:rsidRDefault="00F307CA">
            <w:pPr>
              <w:ind w:left="-57" w:right="-57"/>
              <w:jc w:val="center"/>
            </w:pPr>
            <w:r>
              <w:t>12</w:t>
            </w:r>
          </w:p>
        </w:tc>
        <w:tc>
          <w:tcPr>
            <w:tcW w:w="1134" w:type="dxa"/>
            <w:noWrap/>
          </w:tcPr>
          <w:p w:rsidR="00FD2CDE" w:rsidRDefault="00F307CA">
            <w:pPr>
              <w:ind w:left="-57" w:right="-57"/>
              <w:jc w:val="center"/>
            </w:pPr>
            <w:r>
              <w:t>13</w:t>
            </w:r>
          </w:p>
        </w:tc>
        <w:tc>
          <w:tcPr>
            <w:tcW w:w="991" w:type="dxa"/>
            <w:noWrap/>
          </w:tcPr>
          <w:p w:rsidR="00FD2CDE" w:rsidRDefault="00F307CA">
            <w:pPr>
              <w:ind w:left="-57" w:right="-57"/>
              <w:jc w:val="center"/>
            </w:pPr>
            <w:r>
              <w:t>14</w:t>
            </w:r>
          </w:p>
        </w:tc>
        <w:tc>
          <w:tcPr>
            <w:tcW w:w="992" w:type="dxa"/>
            <w:noWrap/>
          </w:tcPr>
          <w:p w:rsidR="00FD2CDE" w:rsidRDefault="00F307CA">
            <w:pPr>
              <w:ind w:left="-57" w:right="-57"/>
              <w:jc w:val="center"/>
            </w:pPr>
            <w:r>
              <w:t>15</w:t>
            </w:r>
          </w:p>
        </w:tc>
        <w:tc>
          <w:tcPr>
            <w:tcW w:w="800" w:type="dxa"/>
            <w:noWrap/>
          </w:tcPr>
          <w:p w:rsidR="00FD2CDE" w:rsidRDefault="00F307CA">
            <w:pPr>
              <w:ind w:left="-57" w:right="-57"/>
              <w:jc w:val="center"/>
            </w:pPr>
            <w:r>
              <w:t>16</w:t>
            </w:r>
          </w:p>
        </w:tc>
        <w:tc>
          <w:tcPr>
            <w:tcW w:w="1078" w:type="dxa"/>
            <w:noWrap/>
          </w:tcPr>
          <w:p w:rsidR="00FD2CDE" w:rsidRDefault="00F307CA">
            <w:pPr>
              <w:ind w:left="-57" w:right="-57"/>
              <w:jc w:val="center"/>
            </w:pPr>
            <w:r>
              <w:t>17</w:t>
            </w:r>
          </w:p>
        </w:tc>
      </w:tr>
      <w:tr w:rsidR="00FD2CDE">
        <w:tc>
          <w:tcPr>
            <w:tcW w:w="1100" w:type="dxa"/>
            <w:noWrap/>
          </w:tcPr>
          <w:p w:rsidR="00FD2CDE" w:rsidRDefault="00F307CA">
            <w:pPr>
              <w:ind w:left="-74" w:right="-74"/>
              <w:jc w:val="center"/>
              <w:rPr>
                <w:spacing w:val="-10"/>
              </w:rPr>
            </w:pPr>
            <w:r>
              <w:rPr>
                <w:spacing w:val="-10"/>
              </w:rPr>
              <w:t>870000О.99.0.АЭ12АА00000</w:t>
            </w:r>
          </w:p>
        </w:tc>
        <w:tc>
          <w:tcPr>
            <w:tcW w:w="805" w:type="dxa"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708" w:type="dxa"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709" w:type="dxa"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708" w:type="dxa"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710" w:type="dxa"/>
            <w:noWrap/>
          </w:tcPr>
          <w:p w:rsidR="00FD2CDE" w:rsidRDefault="00FD2CDE">
            <w:pPr>
              <w:ind w:left="-57" w:right="-57"/>
            </w:pPr>
          </w:p>
        </w:tc>
        <w:tc>
          <w:tcPr>
            <w:tcW w:w="1179" w:type="dxa"/>
            <w:noWrap/>
          </w:tcPr>
          <w:p w:rsidR="00FD2CDE" w:rsidRDefault="00F307CA">
            <w:pPr>
              <w:ind w:left="-74" w:right="-74"/>
              <w:jc w:val="center"/>
              <w:rPr>
                <w:b/>
              </w:rPr>
            </w:pPr>
            <w:r>
              <w:rPr>
                <w:spacing w:val="-10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noWrap/>
          </w:tcPr>
          <w:p w:rsidR="00FD2CDE" w:rsidRDefault="00F307CA">
            <w:pPr>
              <w:ind w:left="-74" w:right="-74"/>
              <w:jc w:val="center"/>
            </w:pPr>
            <w:r>
              <w:rPr>
                <w:spacing w:val="-10"/>
              </w:rPr>
              <w:t>человек</w:t>
            </w:r>
          </w:p>
        </w:tc>
        <w:tc>
          <w:tcPr>
            <w:tcW w:w="709" w:type="dxa"/>
            <w:noWrap/>
          </w:tcPr>
          <w:p w:rsidR="00FD2CDE" w:rsidRDefault="00F307CA">
            <w:pPr>
              <w:ind w:left="-74" w:right="-74"/>
              <w:jc w:val="center"/>
              <w:rPr>
                <w:spacing w:val="-10"/>
              </w:rPr>
            </w:pPr>
            <w:r>
              <w:rPr>
                <w:spacing w:val="-10"/>
              </w:rPr>
              <w:t>792</w:t>
            </w:r>
          </w:p>
        </w:tc>
        <w:tc>
          <w:tcPr>
            <w:tcW w:w="1135" w:type="dxa"/>
            <w:noWrap/>
          </w:tcPr>
          <w:p w:rsidR="00FD2CDE" w:rsidRDefault="00F307CA">
            <w:pPr>
              <w:ind w:left="-74" w:right="-74"/>
              <w:jc w:val="center"/>
              <w:rPr>
                <w:spacing w:val="-10"/>
              </w:rPr>
            </w:pPr>
            <w:r>
              <w:rPr>
                <w:spacing w:val="-10"/>
              </w:rPr>
              <w:t>80</w:t>
            </w:r>
          </w:p>
        </w:tc>
        <w:tc>
          <w:tcPr>
            <w:tcW w:w="992" w:type="dxa"/>
            <w:noWrap/>
          </w:tcPr>
          <w:p w:rsidR="00FD2CDE" w:rsidRDefault="00F307CA">
            <w:pPr>
              <w:ind w:left="-74" w:right="-74"/>
              <w:jc w:val="center"/>
              <w:rPr>
                <w:spacing w:val="-10"/>
              </w:rPr>
            </w:pPr>
            <w:r>
              <w:rPr>
                <w:spacing w:val="-10"/>
              </w:rPr>
              <w:t>80</w:t>
            </w:r>
          </w:p>
        </w:tc>
        <w:tc>
          <w:tcPr>
            <w:tcW w:w="1135" w:type="dxa"/>
            <w:noWrap/>
          </w:tcPr>
          <w:p w:rsidR="00FD2CDE" w:rsidRDefault="00F307CA">
            <w:pPr>
              <w:ind w:left="-74" w:right="-74"/>
              <w:jc w:val="center"/>
              <w:rPr>
                <w:spacing w:val="-10"/>
              </w:rPr>
            </w:pPr>
            <w:r>
              <w:rPr>
                <w:spacing w:val="-10"/>
              </w:rPr>
              <w:t>80</w:t>
            </w:r>
          </w:p>
        </w:tc>
        <w:tc>
          <w:tcPr>
            <w:tcW w:w="3117" w:type="dxa"/>
            <w:gridSpan w:val="3"/>
            <w:noWrap/>
          </w:tcPr>
          <w:p w:rsidR="00FD2CDE" w:rsidRDefault="00F307CA">
            <w:pPr>
              <w:jc w:val="center"/>
            </w:pPr>
            <w:r>
              <w:rPr>
                <w:sz w:val="18"/>
                <w:szCs w:val="18"/>
              </w:rPr>
              <w:t>В соответствии с приказом Минтруда Пензенской области</w:t>
            </w:r>
            <w:r>
              <w:rPr>
                <w:sz w:val="18"/>
                <w:szCs w:val="18"/>
              </w:rPr>
              <w:t xml:space="preserve"> от 21.03.2024 № 18-319 «Об утверждении тарифов на социальные услуги, предоставляемые поставщиками социальных услуг в Пензенской области» (с последующими изменениями)</w:t>
            </w:r>
          </w:p>
        </w:tc>
        <w:tc>
          <w:tcPr>
            <w:tcW w:w="800" w:type="dxa"/>
            <w:noWrap/>
          </w:tcPr>
          <w:p w:rsidR="00FD2CDE" w:rsidRDefault="00F307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1078" w:type="dxa"/>
            <w:noWrap/>
          </w:tcPr>
          <w:p w:rsidR="00FD2CDE" w:rsidRDefault="00FD2CDE">
            <w:pPr>
              <w:jc w:val="center"/>
              <w:rPr>
                <w:sz w:val="18"/>
                <w:szCs w:val="18"/>
              </w:rPr>
            </w:pPr>
            <w:bookmarkStart w:id="2" w:name="_GoBack"/>
            <w:bookmarkEnd w:id="2"/>
          </w:p>
        </w:tc>
      </w:tr>
    </w:tbl>
    <w:p w:rsidR="00FD2CDE" w:rsidRDefault="00FD2CDE">
      <w:pPr>
        <w:jc w:val="both"/>
        <w:rPr>
          <w:sz w:val="22"/>
          <w:szCs w:val="22"/>
        </w:rPr>
      </w:pPr>
    </w:p>
    <w:p w:rsidR="00FD2CDE" w:rsidRDefault="00F307CA">
      <w:pPr>
        <w:jc w:val="both"/>
        <w:rPr>
          <w:sz w:val="24"/>
          <w:szCs w:val="24"/>
        </w:rPr>
      </w:pPr>
      <w:r>
        <w:rPr>
          <w:sz w:val="24"/>
          <w:szCs w:val="24"/>
        </w:rPr>
        <w:t>4. Нормативные правовые акты, устанавливающие размер платы (цену, тариф) либо порядок ее установления</w:t>
      </w:r>
    </w:p>
    <w:p w:rsidR="00FD2CDE" w:rsidRDefault="00FD2CDE">
      <w:pPr>
        <w:jc w:val="both"/>
        <w:rPr>
          <w:sz w:val="22"/>
          <w:szCs w:val="22"/>
        </w:rPr>
      </w:pPr>
    </w:p>
    <w:tbl>
      <w:tblPr>
        <w:tblStyle w:val="aff"/>
        <w:tblW w:w="4644" w:type="pct"/>
        <w:tblLayout w:type="fixed"/>
        <w:tblLook w:val="0000"/>
      </w:tblPr>
      <w:tblGrid>
        <w:gridCol w:w="1808"/>
        <w:gridCol w:w="2551"/>
        <w:gridCol w:w="1701"/>
        <w:gridCol w:w="1173"/>
        <w:gridCol w:w="6764"/>
      </w:tblGrid>
      <w:tr w:rsidR="00FD2CDE">
        <w:tc>
          <w:tcPr>
            <w:tcW w:w="13998" w:type="dxa"/>
            <w:gridSpan w:val="5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Нормативный правовой акт</w:t>
            </w:r>
          </w:p>
        </w:tc>
      </w:tr>
      <w:tr w:rsidR="00FD2CDE">
        <w:tc>
          <w:tcPr>
            <w:tcW w:w="1808" w:type="dxa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вид</w:t>
            </w:r>
          </w:p>
        </w:tc>
        <w:tc>
          <w:tcPr>
            <w:tcW w:w="2551" w:type="dxa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принявший орган</w:t>
            </w:r>
          </w:p>
        </w:tc>
        <w:tc>
          <w:tcPr>
            <w:tcW w:w="1701" w:type="dxa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</w:p>
        </w:tc>
        <w:tc>
          <w:tcPr>
            <w:tcW w:w="1173" w:type="dxa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</w:t>
            </w:r>
          </w:p>
        </w:tc>
        <w:tc>
          <w:tcPr>
            <w:tcW w:w="6764" w:type="dxa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</w:tr>
      <w:tr w:rsidR="00FD2CDE">
        <w:tc>
          <w:tcPr>
            <w:tcW w:w="1808" w:type="dxa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3" w:type="dxa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764" w:type="dxa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FD2CDE">
        <w:tc>
          <w:tcPr>
            <w:tcW w:w="1808" w:type="dxa"/>
            <w:noWrap/>
          </w:tcPr>
          <w:p w:rsidR="00FD2CDE" w:rsidRDefault="00F307CA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Федеральный закон</w:t>
            </w:r>
          </w:p>
        </w:tc>
        <w:tc>
          <w:tcPr>
            <w:tcW w:w="2551" w:type="dxa"/>
            <w:noWrap/>
          </w:tcPr>
          <w:p w:rsidR="00FD2CDE" w:rsidRDefault="00F307CA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Государственная Дума</w:t>
            </w:r>
          </w:p>
        </w:tc>
        <w:tc>
          <w:tcPr>
            <w:tcW w:w="1701" w:type="dxa"/>
            <w:noWrap/>
          </w:tcPr>
          <w:p w:rsidR="00FD2CDE" w:rsidRDefault="00F307CA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28.12.2013</w:t>
            </w:r>
          </w:p>
        </w:tc>
        <w:tc>
          <w:tcPr>
            <w:tcW w:w="1173" w:type="dxa"/>
            <w:noWrap/>
          </w:tcPr>
          <w:p w:rsidR="00FD2CDE" w:rsidRDefault="00F307CA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442-ФЗ</w:t>
            </w:r>
          </w:p>
        </w:tc>
        <w:tc>
          <w:tcPr>
            <w:tcW w:w="6764" w:type="dxa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 основах социального обслуживания граждан в Российской Федерации</w:t>
            </w:r>
          </w:p>
        </w:tc>
      </w:tr>
      <w:tr w:rsidR="00FD2CDE">
        <w:trPr>
          <w:trHeight w:val="276"/>
        </w:trPr>
        <w:tc>
          <w:tcPr>
            <w:tcW w:w="1808" w:type="dxa"/>
            <w:vMerge w:val="restart"/>
            <w:noWrap/>
          </w:tcPr>
          <w:p w:rsidR="00FD2CDE" w:rsidRDefault="00F307CA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Постановление</w:t>
            </w:r>
          </w:p>
        </w:tc>
        <w:tc>
          <w:tcPr>
            <w:tcW w:w="2551" w:type="dxa"/>
            <w:vMerge w:val="restart"/>
            <w:noWrap/>
          </w:tcPr>
          <w:p w:rsidR="00FD2CDE" w:rsidRDefault="00F307CA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Правительство Российской Федерации</w:t>
            </w:r>
          </w:p>
        </w:tc>
        <w:tc>
          <w:tcPr>
            <w:tcW w:w="1701" w:type="dxa"/>
            <w:vMerge w:val="restart"/>
            <w:noWrap/>
          </w:tcPr>
          <w:p w:rsidR="00FD2CDE" w:rsidRDefault="00F307CA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23.12.2024</w:t>
            </w:r>
          </w:p>
        </w:tc>
        <w:tc>
          <w:tcPr>
            <w:tcW w:w="1173" w:type="dxa"/>
            <w:vMerge w:val="restart"/>
            <w:noWrap/>
          </w:tcPr>
          <w:p w:rsidR="00FD2CDE" w:rsidRDefault="00F307CA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1873</w:t>
            </w:r>
          </w:p>
        </w:tc>
        <w:tc>
          <w:tcPr>
            <w:tcW w:w="6764" w:type="dxa"/>
            <w:vMerge w:val="restart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 утверждении  правил определения среднедушевого дохода для предоставления социальных услуг бесплатно</w:t>
            </w:r>
          </w:p>
        </w:tc>
      </w:tr>
      <w:tr w:rsidR="00FD2CDE">
        <w:trPr>
          <w:trHeight w:val="276"/>
        </w:trPr>
        <w:tc>
          <w:tcPr>
            <w:tcW w:w="1808" w:type="dxa"/>
            <w:vMerge w:val="restart"/>
            <w:noWrap/>
          </w:tcPr>
          <w:p w:rsidR="00FD2CDE" w:rsidRDefault="00F307CA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Закон Пензенской области</w:t>
            </w:r>
          </w:p>
        </w:tc>
        <w:tc>
          <w:tcPr>
            <w:tcW w:w="2551" w:type="dxa"/>
            <w:vMerge w:val="restart"/>
            <w:noWrap/>
          </w:tcPr>
          <w:p w:rsidR="00FD2CDE" w:rsidRDefault="00F307CA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Законодательное Собрание Пензенской области </w:t>
            </w:r>
          </w:p>
        </w:tc>
        <w:tc>
          <w:tcPr>
            <w:tcW w:w="1701" w:type="dxa"/>
            <w:vMerge w:val="restart"/>
            <w:noWrap/>
          </w:tcPr>
          <w:p w:rsidR="00FD2CDE" w:rsidRDefault="00F307CA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29.03.2024</w:t>
            </w:r>
          </w:p>
        </w:tc>
        <w:tc>
          <w:tcPr>
            <w:tcW w:w="1173" w:type="dxa"/>
            <w:vMerge w:val="restart"/>
            <w:noWrap/>
          </w:tcPr>
          <w:p w:rsidR="00FD2CDE" w:rsidRDefault="00F307CA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4171-ЗПО</w:t>
            </w:r>
          </w:p>
        </w:tc>
        <w:tc>
          <w:tcPr>
            <w:tcW w:w="6764" w:type="dxa"/>
            <w:vMerge w:val="restart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социальном обслуживании граждан в Пензенской области</w:t>
            </w:r>
          </w:p>
        </w:tc>
      </w:tr>
      <w:tr w:rsidR="00FD2CDE">
        <w:trPr>
          <w:trHeight w:val="276"/>
        </w:trPr>
        <w:tc>
          <w:tcPr>
            <w:tcW w:w="1808" w:type="dxa"/>
            <w:vMerge w:val="restart"/>
            <w:noWrap/>
          </w:tcPr>
          <w:p w:rsidR="00FD2CDE" w:rsidRDefault="00F307CA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Постановление</w:t>
            </w:r>
          </w:p>
        </w:tc>
        <w:tc>
          <w:tcPr>
            <w:tcW w:w="2551" w:type="dxa"/>
            <w:vMerge w:val="restart"/>
            <w:noWrap/>
          </w:tcPr>
          <w:p w:rsidR="00FD2CDE" w:rsidRDefault="00F307CA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Правительство Пензенской области</w:t>
            </w:r>
          </w:p>
        </w:tc>
        <w:tc>
          <w:tcPr>
            <w:tcW w:w="1701" w:type="dxa"/>
            <w:vMerge w:val="restart"/>
            <w:noWrap/>
          </w:tcPr>
          <w:p w:rsidR="00FD2CDE" w:rsidRDefault="00F307CA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23.08.2024</w:t>
            </w:r>
          </w:p>
        </w:tc>
        <w:tc>
          <w:tcPr>
            <w:tcW w:w="1173" w:type="dxa"/>
            <w:vMerge w:val="restart"/>
            <w:noWrap/>
          </w:tcPr>
          <w:p w:rsidR="00FD2CDE" w:rsidRDefault="00F307CA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636-пП</w:t>
            </w:r>
          </w:p>
        </w:tc>
        <w:tc>
          <w:tcPr>
            <w:tcW w:w="6764" w:type="dxa"/>
            <w:vMerge w:val="restart"/>
            <w:noWrap/>
          </w:tcPr>
          <w:p w:rsidR="00FD2CDE" w:rsidRDefault="00F307CA">
            <w:pPr>
              <w:jc w:val="center"/>
              <w:rPr>
                <w:sz w:val="22"/>
                <w:szCs w:val="18"/>
              </w:rPr>
            </w:pPr>
            <w:r>
              <w:rPr>
                <w:sz w:val="22"/>
                <w:szCs w:val="22"/>
              </w:rPr>
              <w:t>Об установлении порядка утверждения тарифов н</w:t>
            </w:r>
            <w:r>
              <w:rPr>
                <w:sz w:val="22"/>
                <w:szCs w:val="22"/>
              </w:rPr>
              <w:t>а социальные услуги на основании подушевых нормативов финансирования социальных услуг</w:t>
            </w:r>
          </w:p>
        </w:tc>
      </w:tr>
      <w:tr w:rsidR="00FD2CDE">
        <w:trPr>
          <w:trHeight w:val="276"/>
        </w:trPr>
        <w:tc>
          <w:tcPr>
            <w:tcW w:w="1808" w:type="dxa"/>
            <w:vMerge w:val="restart"/>
            <w:noWrap/>
          </w:tcPr>
          <w:p w:rsidR="00FD2CDE" w:rsidRDefault="00F307CA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Приказ</w:t>
            </w:r>
          </w:p>
        </w:tc>
        <w:tc>
          <w:tcPr>
            <w:tcW w:w="2551" w:type="dxa"/>
            <w:vMerge w:val="restart"/>
            <w:noWrap/>
          </w:tcPr>
          <w:p w:rsidR="00FD2CDE" w:rsidRDefault="00F307CA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Минтруд Пензенской области</w:t>
            </w:r>
          </w:p>
        </w:tc>
        <w:tc>
          <w:tcPr>
            <w:tcW w:w="1701" w:type="dxa"/>
            <w:vMerge w:val="restart"/>
            <w:noWrap/>
          </w:tcPr>
          <w:p w:rsidR="00FD2CDE" w:rsidRDefault="00F307CA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21.03.2024</w:t>
            </w:r>
          </w:p>
        </w:tc>
        <w:tc>
          <w:tcPr>
            <w:tcW w:w="1173" w:type="dxa"/>
            <w:vMerge w:val="restart"/>
            <w:noWrap/>
          </w:tcPr>
          <w:p w:rsidR="00FD2CDE" w:rsidRDefault="00F307CA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18-319</w:t>
            </w:r>
          </w:p>
        </w:tc>
        <w:tc>
          <w:tcPr>
            <w:tcW w:w="6764" w:type="dxa"/>
            <w:vMerge w:val="restart"/>
            <w:noWrap/>
          </w:tcPr>
          <w:p w:rsidR="00FD2CDE" w:rsidRDefault="00F307CA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Об утверждении тарифов на социальные услуги, предоставляемые поставщиками социальных услуг в Пензенской области</w:t>
            </w:r>
          </w:p>
        </w:tc>
      </w:tr>
    </w:tbl>
    <w:p w:rsidR="00FD2CDE" w:rsidRDefault="00F307CA">
      <w:pPr>
        <w:jc w:val="both"/>
        <w:rPr>
          <w:sz w:val="24"/>
          <w:szCs w:val="24"/>
        </w:rPr>
      </w:pPr>
      <w:r>
        <w:rPr>
          <w:sz w:val="24"/>
          <w:szCs w:val="24"/>
        </w:rPr>
        <w:t>5. Порядок оказания государственной услуги</w:t>
      </w:r>
    </w:p>
    <w:p w:rsidR="00FD2CDE" w:rsidRDefault="00F307CA">
      <w:pPr>
        <w:jc w:val="both"/>
        <w:rPr>
          <w:sz w:val="24"/>
          <w:szCs w:val="24"/>
        </w:rPr>
      </w:pPr>
      <w:r>
        <w:rPr>
          <w:sz w:val="24"/>
          <w:szCs w:val="24"/>
        </w:rPr>
        <w:t>5.1.  Нормативные  правовые  акты,  регулирующие порядок оказания государственной услуги</w:t>
      </w:r>
    </w:p>
    <w:p w:rsidR="00FD2CDE" w:rsidRDefault="00F307CA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Федеральный закон от 28.12.2013 № 442-ФЗ «Об основах социального обслуживания граждан в Российской Федерации»;</w:t>
      </w:r>
    </w:p>
    <w:p w:rsidR="00FD2CDE" w:rsidRDefault="00F307CA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Закон Пензенс</w:t>
      </w:r>
      <w:r>
        <w:rPr>
          <w:sz w:val="24"/>
          <w:szCs w:val="24"/>
          <w:u w:val="single"/>
        </w:rPr>
        <w:t>кой области от 29.03.2024 № 4171-ЗПО «О социальном обслуживании граждан в Пензенской области»;</w:t>
      </w:r>
    </w:p>
    <w:p w:rsidR="00FD2CDE" w:rsidRDefault="00F307CA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Постановление Правительства Пензенской области от 15.07.2015 № 399-пП «Об утверждении Порядка предоставления социальных услуг поставщиками социальных услуг в ста</w:t>
      </w:r>
      <w:r>
        <w:rPr>
          <w:sz w:val="24"/>
          <w:szCs w:val="24"/>
          <w:u w:val="single"/>
        </w:rPr>
        <w:t>ционарной форме социального обслуживания в Пензенской области» (с последующими изменениями).</w:t>
      </w:r>
    </w:p>
    <w:p w:rsidR="00FD2CDE" w:rsidRDefault="00F307CA">
      <w:pPr>
        <w:jc w:val="both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  (наименование, номер и дата нормативного правового акт</w:t>
      </w:r>
      <w:r>
        <w:rPr>
          <w:szCs w:val="22"/>
        </w:rPr>
        <w:t>а)</w:t>
      </w:r>
    </w:p>
    <w:p w:rsidR="00FD2CDE" w:rsidRDefault="00FD2CDE">
      <w:pPr>
        <w:jc w:val="both"/>
        <w:rPr>
          <w:sz w:val="22"/>
          <w:szCs w:val="22"/>
        </w:rPr>
      </w:pPr>
    </w:p>
    <w:p w:rsidR="00FD2CDE" w:rsidRDefault="00F307CA">
      <w:pPr>
        <w:jc w:val="both"/>
        <w:rPr>
          <w:sz w:val="24"/>
          <w:szCs w:val="24"/>
        </w:rPr>
      </w:pPr>
      <w:r>
        <w:rPr>
          <w:sz w:val="24"/>
          <w:szCs w:val="24"/>
        </w:rPr>
        <w:t>5.2. Порядок информирования потенциальных потребителей государственной услуги</w:t>
      </w:r>
    </w:p>
    <w:p w:rsidR="00FD2CDE" w:rsidRDefault="00FD2CDE">
      <w:pPr>
        <w:jc w:val="both"/>
        <w:rPr>
          <w:sz w:val="10"/>
          <w:szCs w:val="10"/>
        </w:rPr>
      </w:pPr>
    </w:p>
    <w:tbl>
      <w:tblPr>
        <w:tblStyle w:val="aff"/>
        <w:tblW w:w="14706" w:type="dxa"/>
        <w:tblLayout w:type="fixed"/>
        <w:tblLook w:val="0000"/>
      </w:tblPr>
      <w:tblGrid>
        <w:gridCol w:w="2550"/>
        <w:gridCol w:w="8472"/>
        <w:gridCol w:w="3684"/>
      </w:tblGrid>
      <w:tr w:rsidR="00FD2CDE">
        <w:tc>
          <w:tcPr>
            <w:tcW w:w="2550" w:type="dxa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 информирования</w:t>
            </w:r>
          </w:p>
        </w:tc>
        <w:tc>
          <w:tcPr>
            <w:tcW w:w="8472" w:type="dxa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3684" w:type="dxa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Частота обновления информации</w:t>
            </w:r>
          </w:p>
        </w:tc>
      </w:tr>
      <w:tr w:rsidR="00FD2CDE">
        <w:tc>
          <w:tcPr>
            <w:tcW w:w="2550" w:type="dxa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472" w:type="dxa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684" w:type="dxa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FD2CDE">
        <w:tc>
          <w:tcPr>
            <w:tcW w:w="2550" w:type="dxa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у входа в здание</w:t>
            </w:r>
          </w:p>
        </w:tc>
        <w:tc>
          <w:tcPr>
            <w:tcW w:w="8472" w:type="dxa"/>
            <w:noWrap/>
          </w:tcPr>
          <w:p w:rsidR="00FD2CDE" w:rsidRDefault="00F307CA">
            <w:pPr>
              <w:jc w:val="center"/>
            </w:pPr>
            <w:r>
              <w:rPr>
                <w:sz w:val="22"/>
                <w:szCs w:val="22"/>
              </w:rPr>
              <w:t>Наименование, режим работы учреждения, оказывающего государственную услугу</w:t>
            </w:r>
          </w:p>
        </w:tc>
        <w:tc>
          <w:tcPr>
            <w:tcW w:w="3684" w:type="dxa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изменении информации</w:t>
            </w:r>
          </w:p>
        </w:tc>
      </w:tr>
      <w:tr w:rsidR="00FD2CDE">
        <w:tc>
          <w:tcPr>
            <w:tcW w:w="2550" w:type="dxa"/>
            <w:noWrap/>
          </w:tcPr>
          <w:p w:rsidR="00FD2CDE" w:rsidRDefault="00F307CA">
            <w:pPr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На информационных стендах в помещениях поставщиков социальных услуг, в средствах массовой информации, в сети «Интернет»</w:t>
            </w:r>
          </w:p>
        </w:tc>
        <w:tc>
          <w:tcPr>
            <w:tcW w:w="8472" w:type="dxa"/>
            <w:noWrap/>
          </w:tcPr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1) о дате государственной регистрац</w:t>
            </w:r>
            <w:r>
              <w:rPr>
                <w:sz w:val="22"/>
                <w:szCs w:val="22"/>
              </w:rPr>
              <w:t>ии, об учредителе (учредителях), о месте нахождения, филиалах (при их наличии), режиме, графике работы, контактных телефонах и об адресах электронной почты;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2) о структуре и об органах управления организации социального обслуживания;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3) о форме социального</w:t>
            </w:r>
            <w:r>
              <w:rPr>
                <w:sz w:val="22"/>
                <w:szCs w:val="22"/>
              </w:rPr>
              <w:t xml:space="preserve"> обслуживания, видах социальных услуг, порядке и об условиях их предоставления, о тарифах на социальные услуги;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4) о численности получателей социальных услуг и видам социальных услуг за счет бюджетных ассигнований бюджета Пензенской области и в соответстви</w:t>
            </w:r>
            <w:r>
              <w:rPr>
                <w:sz w:val="22"/>
                <w:szCs w:val="22"/>
              </w:rPr>
              <w:t xml:space="preserve">и с договорами </w:t>
            </w:r>
            <w:r>
              <w:rPr>
                <w:sz w:val="22"/>
                <w:szCs w:val="22"/>
              </w:rPr>
              <w:lastRenderedPageBreak/>
              <w:t xml:space="preserve">за счет средств физических лиц и (или) юридических лиц; 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5) о руководителе, его заместителях, о персональном составе работников (с указанием с их согласия уровня образования, квалификации и опыта работы);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6) о материально-техническом обеспеч</w:t>
            </w:r>
            <w:r>
              <w:rPr>
                <w:sz w:val="22"/>
                <w:szCs w:val="22"/>
              </w:rPr>
              <w:t>ении предоставления социальных услуг (наличие оборудованных помещений для предоставления социальных услуг, в том числе библиотек, объектов спорта, наличие средств обучения и воспитания, условия питания и обеспечение охраны здоровья получателей социальных у</w:t>
            </w:r>
            <w:r>
              <w:rPr>
                <w:sz w:val="22"/>
                <w:szCs w:val="22"/>
              </w:rPr>
              <w:t>слуг, доступ к информационным системам в сфере социального обслуживания и сети "Интернет");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7) о количестве свободных мест для приема получателей социальных услуг, финансируемых за счет бюджетных ассигнований бюджета Пензенской области, а также оплачиваемы</w:t>
            </w:r>
            <w:r>
              <w:rPr>
                <w:sz w:val="22"/>
                <w:szCs w:val="22"/>
              </w:rPr>
              <w:t>х в соответствии с договорами за счет средств физических лиц и (или) юридических лиц;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8) об объеме предоставляемых социальных услуг за счет бюджетных ассигнований бюджета Пензенской области и в соответствии с договорами за счет средств физических лиц и (ил</w:t>
            </w:r>
            <w:r>
              <w:rPr>
                <w:sz w:val="22"/>
                <w:szCs w:val="22"/>
              </w:rPr>
              <w:t>и) юридических лиц;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9) 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10) о финансово-хозяйственной деятельности;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11) о правилах внутреннего распорядка для получателей социальных услуг, правилах внутреннего трудового распорядка, коллективном договоре;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12) о наличии предписаний органов, осуществляющих государственный контроль в сфере социального обслуживания, и отчетов об исполнении указанных предписаний;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12.1) о проведении независимой оценки качества условий оказания услуг организациями социального обсл</w:t>
            </w:r>
            <w:r>
              <w:rPr>
                <w:sz w:val="22"/>
                <w:szCs w:val="22"/>
              </w:rPr>
              <w:t>уживания, которая определяется уполномоченным федеральным органом исполнительной власти.</w:t>
            </w:r>
          </w:p>
        </w:tc>
        <w:tc>
          <w:tcPr>
            <w:tcW w:w="3684" w:type="dxa"/>
            <w:noWrap/>
          </w:tcPr>
          <w:p w:rsidR="00FD2CDE" w:rsidRDefault="00F307CA">
            <w:pPr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lastRenderedPageBreak/>
              <w:t>в течение десяти рабочих дней со дня их создания, получения или внесения в них соответствующих изменений</w:t>
            </w:r>
          </w:p>
        </w:tc>
      </w:tr>
      <w:tr w:rsidR="00FD2CDE">
        <w:trPr>
          <w:trHeight w:val="184"/>
        </w:trPr>
        <w:tc>
          <w:tcPr>
            <w:tcW w:w="2550" w:type="dxa"/>
            <w:vMerge w:val="restart"/>
            <w:noWrap/>
          </w:tcPr>
          <w:p w:rsidR="00FD2CDE" w:rsidRDefault="00F307CA">
            <w:pPr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lastRenderedPageBreak/>
              <w:t>Информация на официальном сайте в информационно-телекоммуника</w:t>
            </w:r>
            <w:r>
              <w:rPr>
                <w:sz w:val="22"/>
                <w:szCs w:val="22"/>
              </w:rPr>
              <w:t>ционной сети "Интернет" </w:t>
            </w:r>
          </w:p>
        </w:tc>
        <w:tc>
          <w:tcPr>
            <w:tcW w:w="8472" w:type="dxa"/>
            <w:vMerge w:val="restart"/>
            <w:noWrap/>
          </w:tcPr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1) о дате государственной регистрации в качестве поставщика социальных услуг с указанием числа, месяца и года регистрации;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2) об учредителе (учредителях) поставщика социальных услуг - организации социального обслуживания с указание</w:t>
            </w:r>
            <w:r>
              <w:rPr>
                <w:sz w:val="22"/>
                <w:szCs w:val="22"/>
              </w:rPr>
              <w:t>м наименования, места его (их) нахождения, контактных телефонов и адресов электронной почты;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3) о месте нахождения поставщика социальных услуг, его филиалах (при их наличии) с указанием адреса и схемы проезда;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4) о режиме, графике работы с указанием дней и</w:t>
            </w:r>
            <w:r>
              <w:rPr>
                <w:sz w:val="22"/>
                <w:szCs w:val="22"/>
              </w:rPr>
              <w:t xml:space="preserve"> часов приема, перерыва на обед;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5) о контактных телефонах с указанием кода населенного пункта, в котором расположен поставщик социальных услуг, и об адресах электронной почты;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6) о руководителе, его заместителях, руководителях филиалов (при их наличии у п</w:t>
            </w:r>
            <w:r>
              <w:rPr>
                <w:sz w:val="22"/>
                <w:szCs w:val="22"/>
              </w:rPr>
              <w:t xml:space="preserve">оставщика социальных услуг) с указанием контактных телефонов и адресов </w:t>
            </w:r>
            <w:r>
              <w:rPr>
                <w:sz w:val="22"/>
                <w:szCs w:val="22"/>
              </w:rPr>
              <w:lastRenderedPageBreak/>
              <w:t>электронной почты;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7) о структуре и об органах управления организации социального обслуживания с указанием наименований структурных подразделений (органов управления), фамилий, имен, от</w:t>
            </w:r>
            <w:r>
              <w:rPr>
                <w:sz w:val="22"/>
                <w:szCs w:val="22"/>
              </w:rPr>
              <w:t>честв и должностей руководителей структурных подразделений, места нахождения структурных подразделений, адресов официальных сайтов структурных подразделений (при наличии), адресов электронной почты структурных подразделений (при наличии); о положениях о ст</w:t>
            </w:r>
            <w:r>
              <w:rPr>
                <w:sz w:val="22"/>
                <w:szCs w:val="22"/>
              </w:rPr>
              <w:t>руктурных подразделениях организации социального обслуживания (при их наличии); о персональном составе работников организации социального обслуживания с указанием с их согласия уровня образования, квалификации и опыта работы; о попечительском совете органи</w:t>
            </w:r>
            <w:r>
              <w:rPr>
                <w:sz w:val="22"/>
                <w:szCs w:val="22"/>
              </w:rPr>
              <w:t>зации социального обслуживания;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8) о материально-техническом обеспечении предоставления социальных услуг (наличии оборудованных помещений для предоставления социальных услуг, в том числе библиотек, объектов спорта, средств обучения и воспитания, условиях п</w:t>
            </w:r>
            <w:r>
              <w:rPr>
                <w:sz w:val="22"/>
                <w:szCs w:val="22"/>
              </w:rPr>
              <w:t>итания и обеспечения охраны здоровья получателей социальных услуг, доступе к информационным системам в сфере социального обслуживания и сети "Интернет");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9) о форме социального обслуживания, в которой поставщик социальных услуг предоставляет социальные усл</w:t>
            </w:r>
            <w:r>
              <w:rPr>
                <w:sz w:val="22"/>
                <w:szCs w:val="22"/>
              </w:rPr>
              <w:t>уги (стационарной, полустационарной, на дому);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10) о видах социальных услуг, предоставляемых поставщиком социальных услуг (социально-бытовые, социально-медицинские, социально-психологические, социально-педагогические, социально-трудовые, социально-правовые</w:t>
            </w:r>
            <w:r>
              <w:rPr>
                <w:sz w:val="22"/>
                <w:szCs w:val="22"/>
              </w:rPr>
              <w:t>, услуги в целях повышения коммуникативного потенциала получателей социальных услуг, срочные социальные услуги);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 xml:space="preserve">11) о порядке и об условиях предоставления социальных услуг по видам социальных услуг и формам социального обслуживания, в том числе о перечне </w:t>
            </w:r>
            <w:r>
              <w:rPr>
                <w:sz w:val="22"/>
                <w:szCs w:val="22"/>
              </w:rPr>
              <w:t xml:space="preserve">социальных услуг, предоставляемых поставщиком социальных услуг; о порядке и условиях предоставления социальных услуг бесплатно и за плату по видам социальных услуг и формам социального обслуживания; о тарифах на социальные услуги по видам социальных услуг </w:t>
            </w:r>
            <w:r>
              <w:rPr>
                <w:sz w:val="22"/>
                <w:szCs w:val="22"/>
              </w:rPr>
              <w:t>и формам социального обслуживания; размере платы за предоставление социальных услуг, а также о возможности получения социальных услуг бесплатно;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12) о численности получателей социальных услуг по формам социального обслуживания и видам социальных услуг за с</w:t>
            </w:r>
            <w:r>
              <w:rPr>
                <w:sz w:val="22"/>
                <w:szCs w:val="22"/>
              </w:rPr>
              <w:t>чет бюджетных ассигнований бюджетов субъектов Российской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</w:t>
            </w:r>
            <w:r>
              <w:rPr>
                <w:sz w:val="22"/>
                <w:szCs w:val="22"/>
              </w:rPr>
              <w:t xml:space="preserve"> за счет средств физических лиц и (или) юридических лиц;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 xml:space="preserve">13) о количестве свободных мест для приема получателей социальных услуг по </w:t>
            </w:r>
            <w:r>
              <w:rPr>
                <w:sz w:val="22"/>
                <w:szCs w:val="22"/>
              </w:rPr>
              <w:lastRenderedPageBreak/>
              <w:t>формам социального обслуживания, финансируемых за счет бюджетных ассигнований бюджета Пензенской области, и количестве свобо</w:t>
            </w:r>
            <w:r>
              <w:rPr>
                <w:sz w:val="22"/>
                <w:szCs w:val="22"/>
              </w:rPr>
              <w:t>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14) об объеме предоставляем</w:t>
            </w:r>
            <w:r>
              <w:rPr>
                <w:sz w:val="22"/>
                <w:szCs w:val="22"/>
              </w:rPr>
              <w:t>ых социальных услуг за счет бюджетных ассигнований бюджета Пензенской области 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14.1) о показателях, характе</w:t>
            </w:r>
            <w:r>
              <w:rPr>
                <w:sz w:val="22"/>
                <w:szCs w:val="22"/>
              </w:rPr>
              <w:t>ризующих качество оказания социальной услуги (в случае установления показателей, характеризующих качество оказания социальной услуги, в государственном (муниципальном) социальном заказе на оказание государственных (муниципальных) услуг в социальной сфере);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15) о наличии лицензий на осуществление деятельности, подлежащей лицензированию в соответствии с законодательством Российской Федерации (с приложением электронного образа документов);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 xml:space="preserve">16) о финансово-хозяйственной деятельности (с приложением электронного </w:t>
            </w:r>
            <w:r>
              <w:rPr>
                <w:sz w:val="22"/>
                <w:szCs w:val="22"/>
              </w:rPr>
              <w:t>образа плана финансово-хозяйственной деятельности);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17) о правилах внутреннего распорядка для получателей социальных услуг, правилах внутреннего трудового распорядка, коллективном договоре (с приложение электронного образа документов);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18) о наличии предпи</w:t>
            </w:r>
            <w:r>
              <w:rPr>
                <w:sz w:val="22"/>
                <w:szCs w:val="22"/>
              </w:rPr>
              <w:t>саний органов, осуществляющих государственный контроль в сфере социального обслуживания, и отчетов об исполнении указанных предписаний;</w:t>
            </w:r>
          </w:p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19) о проведении независимой оценки качества оказания социальных услуг.</w:t>
            </w:r>
          </w:p>
        </w:tc>
        <w:tc>
          <w:tcPr>
            <w:tcW w:w="3684" w:type="dxa"/>
            <w:vMerge w:val="restart"/>
            <w:noWrap/>
          </w:tcPr>
          <w:p w:rsidR="00FD2CDE" w:rsidRDefault="00F307CA">
            <w:pPr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lastRenderedPageBreak/>
              <w:t>в течение десяти рабочих дней со дня их создания</w:t>
            </w:r>
            <w:r>
              <w:rPr>
                <w:sz w:val="22"/>
                <w:szCs w:val="22"/>
              </w:rPr>
              <w:t>, получения или внесения в них соответствующих изменений</w:t>
            </w:r>
          </w:p>
        </w:tc>
      </w:tr>
      <w:tr w:rsidR="00FD2CDE">
        <w:trPr>
          <w:trHeight w:val="216"/>
        </w:trPr>
        <w:tc>
          <w:tcPr>
            <w:tcW w:w="2550" w:type="dxa"/>
            <w:vMerge w:val="restart"/>
            <w:noWrap/>
          </w:tcPr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lastRenderedPageBreak/>
              <w:t>Информация на информационных стендах в учреждении, оказывающем государственную услугу</w:t>
            </w:r>
          </w:p>
        </w:tc>
        <w:tc>
          <w:tcPr>
            <w:tcW w:w="8472" w:type="dxa"/>
            <w:vMerge w:val="restart"/>
            <w:noWrap/>
          </w:tcPr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 xml:space="preserve">Перечень оказываемых услуг. Текст стандарта государственной услуги с приложениями. Перечень документов, которые </w:t>
            </w:r>
            <w:r>
              <w:rPr>
                <w:sz w:val="22"/>
                <w:szCs w:val="22"/>
              </w:rPr>
              <w:t>должен представить (предъявить) потребитель. Образцы оформления документов, необходимых для предоставления государственной услуги. Извлечения из законодательных актов и иных нормативных правовых актов, содержащих нормы, регулирующие деятельность по предста</w:t>
            </w:r>
            <w:r>
              <w:rPr>
                <w:sz w:val="22"/>
                <w:szCs w:val="22"/>
              </w:rPr>
              <w:t>влению государственной услуги. Информация о руководителе учреждения и времени приема граждан. Схема размещения специалистов и режим приема ими граждан. Информация о способах доведения потребителями своих отзывов, замечаний и предложений о работе учреждения</w:t>
            </w:r>
            <w:r>
              <w:rPr>
                <w:sz w:val="22"/>
                <w:szCs w:val="22"/>
              </w:rPr>
              <w:t>, оказывающего государственную услугу. Адрес официального Интернет-сайта учреждения, адрес электронной почты.</w:t>
            </w:r>
          </w:p>
        </w:tc>
        <w:tc>
          <w:tcPr>
            <w:tcW w:w="3684" w:type="dxa"/>
            <w:vMerge w:val="restart"/>
            <w:noWrap/>
          </w:tcPr>
          <w:p w:rsidR="00FD2CDE" w:rsidRDefault="00F307CA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в течение десяти рабочих дней после внесения изменения в нормативные правовые акты</w:t>
            </w:r>
          </w:p>
        </w:tc>
      </w:tr>
    </w:tbl>
    <w:p w:rsidR="00FD2CDE" w:rsidRDefault="00FD2CDE">
      <w:pPr>
        <w:jc w:val="both"/>
        <w:rPr>
          <w:sz w:val="10"/>
          <w:szCs w:val="10"/>
        </w:rPr>
      </w:pPr>
    </w:p>
    <w:p w:rsidR="00FD2CDE" w:rsidRDefault="00FD2CDE">
      <w:pPr>
        <w:jc w:val="center"/>
        <w:outlineLvl w:val="2"/>
        <w:sectPr w:rsidR="00FD2CDE">
          <w:headerReference w:type="default" r:id="rId8"/>
          <w:footerReference w:type="default" r:id="rId9"/>
          <w:headerReference w:type="first" r:id="rId10"/>
          <w:footerReference w:type="first" r:id="rId11"/>
          <w:pgSz w:w="16838" w:h="11906" w:orient="landscape"/>
          <w:pgMar w:top="1134" w:right="850" w:bottom="1134" w:left="1134" w:header="709" w:footer="709" w:gutter="0"/>
          <w:cols w:space="708"/>
          <w:docGrid w:linePitch="360"/>
        </w:sectPr>
      </w:pPr>
    </w:p>
    <w:p w:rsidR="00FD2CDE" w:rsidRDefault="00F307CA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Часть 2. Прочие сведения о государственном задании</w:t>
      </w:r>
    </w:p>
    <w:p w:rsidR="00FD2CDE" w:rsidRDefault="00FD2CDE">
      <w:pPr>
        <w:jc w:val="both"/>
        <w:outlineLvl w:val="2"/>
        <w:rPr>
          <w:sz w:val="24"/>
          <w:szCs w:val="24"/>
        </w:rPr>
      </w:pPr>
    </w:p>
    <w:p w:rsidR="00FD2CDE" w:rsidRDefault="00F307CA">
      <w:pPr>
        <w:jc w:val="both"/>
        <w:rPr>
          <w:sz w:val="24"/>
          <w:szCs w:val="24"/>
        </w:rPr>
      </w:pPr>
      <w:r>
        <w:rPr>
          <w:sz w:val="24"/>
          <w:szCs w:val="24"/>
        </w:rPr>
        <w:t>1. Основания (условия и порядок) для досрочного прекращения выполнения государственного задания:</w:t>
      </w:r>
    </w:p>
    <w:p w:rsidR="00FD2CDE" w:rsidRDefault="00F307CA">
      <w:pPr>
        <w:jc w:val="both"/>
        <w:rPr>
          <w:sz w:val="26"/>
          <w:szCs w:val="26"/>
        </w:rPr>
      </w:pPr>
      <w:r>
        <w:rPr>
          <w:sz w:val="24"/>
          <w:szCs w:val="24"/>
          <w:u w:val="single"/>
        </w:rPr>
        <w:t>- исключение госуда</w:t>
      </w:r>
      <w:r>
        <w:rPr>
          <w:sz w:val="24"/>
          <w:szCs w:val="24"/>
          <w:u w:val="single"/>
        </w:rPr>
        <w:t>рственной услуги (работы) из Общероссийского базового (отраслевого) перечня (классификатора) государственных и муниципальных услуг, оказываемых физическим лицам;</w:t>
      </w:r>
    </w:p>
    <w:p w:rsidR="00FD2CDE" w:rsidRDefault="00F307CA">
      <w:pPr>
        <w:jc w:val="both"/>
        <w:rPr>
          <w:sz w:val="26"/>
          <w:szCs w:val="26"/>
        </w:rPr>
      </w:pPr>
      <w:r>
        <w:rPr>
          <w:sz w:val="24"/>
          <w:szCs w:val="24"/>
          <w:u w:val="single"/>
        </w:rPr>
        <w:t>- ликвидация или реорганизация учреждения;</w:t>
      </w:r>
    </w:p>
    <w:p w:rsidR="00FD2CDE" w:rsidRDefault="00F307CA">
      <w:pPr>
        <w:jc w:val="both"/>
        <w:rPr>
          <w:sz w:val="26"/>
          <w:szCs w:val="26"/>
        </w:rPr>
      </w:pPr>
      <w:r>
        <w:rPr>
          <w:sz w:val="24"/>
          <w:szCs w:val="24"/>
          <w:u w:val="single"/>
        </w:rPr>
        <w:t>- иные основания, предусмотренные нормативными прав</w:t>
      </w:r>
      <w:r>
        <w:rPr>
          <w:sz w:val="24"/>
          <w:szCs w:val="24"/>
          <w:u w:val="single"/>
        </w:rPr>
        <w:t>овыми актами Российской Федерации.</w:t>
      </w:r>
    </w:p>
    <w:p w:rsidR="00FD2CDE" w:rsidRDefault="00F307C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Иная информация, необходимая для выполнения (контроля за выполнением) государственного задания: </w:t>
      </w:r>
      <w:r>
        <w:rPr>
          <w:sz w:val="24"/>
          <w:szCs w:val="24"/>
          <w:u w:val="single"/>
        </w:rPr>
        <w:t>нет</w:t>
      </w:r>
    </w:p>
    <w:p w:rsidR="00FD2CDE" w:rsidRDefault="00F307CA">
      <w:pPr>
        <w:jc w:val="both"/>
        <w:rPr>
          <w:sz w:val="24"/>
          <w:szCs w:val="24"/>
        </w:rPr>
      </w:pPr>
      <w:r>
        <w:rPr>
          <w:sz w:val="24"/>
          <w:szCs w:val="24"/>
        </w:rPr>
        <w:t>3. Порядок контроля за выполнением государственного задания:</w:t>
      </w:r>
    </w:p>
    <w:tbl>
      <w:tblPr>
        <w:tblStyle w:val="aff"/>
        <w:tblW w:w="14706" w:type="dxa"/>
        <w:tblLayout w:type="fixed"/>
        <w:tblLook w:val="0000"/>
      </w:tblPr>
      <w:tblGrid>
        <w:gridCol w:w="2890"/>
        <w:gridCol w:w="5722"/>
        <w:gridCol w:w="6094"/>
      </w:tblGrid>
      <w:tr w:rsidR="00FD2CDE">
        <w:tc>
          <w:tcPr>
            <w:tcW w:w="2890" w:type="dxa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контроля</w:t>
            </w:r>
          </w:p>
        </w:tc>
        <w:tc>
          <w:tcPr>
            <w:tcW w:w="5722" w:type="dxa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6094" w:type="dxa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исполнительные органы Пензенской области, осуществляющие контроль </w:t>
            </w:r>
            <w:r>
              <w:rPr>
                <w:sz w:val="22"/>
                <w:szCs w:val="22"/>
              </w:rPr>
              <w:br/>
              <w:t>за выполнением государственного задания</w:t>
            </w:r>
          </w:p>
        </w:tc>
      </w:tr>
      <w:tr w:rsidR="00FD2CDE">
        <w:tc>
          <w:tcPr>
            <w:tcW w:w="2890" w:type="dxa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722" w:type="dxa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094" w:type="dxa"/>
            <w:noWrap/>
          </w:tcPr>
          <w:p w:rsidR="00FD2CDE" w:rsidRDefault="00F307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FD2CDE">
        <w:tc>
          <w:tcPr>
            <w:tcW w:w="2890" w:type="dxa"/>
            <w:noWrap/>
          </w:tcPr>
          <w:p w:rsidR="00FD2CDE" w:rsidRDefault="00F307C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Камеральная проверка отчетности</w:t>
            </w:r>
          </w:p>
        </w:tc>
        <w:tc>
          <w:tcPr>
            <w:tcW w:w="5722" w:type="dxa"/>
            <w:noWrap/>
          </w:tcPr>
          <w:p w:rsidR="00FD2CDE" w:rsidRDefault="00F307C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 (по итогам года)</w:t>
            </w:r>
          </w:p>
        </w:tc>
        <w:tc>
          <w:tcPr>
            <w:tcW w:w="6094" w:type="dxa"/>
            <w:vMerge w:val="restart"/>
            <w:noWrap/>
          </w:tcPr>
          <w:p w:rsidR="00FD2CDE" w:rsidRDefault="00F307CA">
            <w:r>
              <w:rPr>
                <w:sz w:val="24"/>
                <w:szCs w:val="24"/>
              </w:rPr>
              <w:t>Министерство труда, социальной защиты и демографии Пензенской области</w:t>
            </w:r>
          </w:p>
        </w:tc>
      </w:tr>
      <w:tr w:rsidR="00FD2CDE">
        <w:tc>
          <w:tcPr>
            <w:tcW w:w="2890" w:type="dxa"/>
            <w:noWrap/>
          </w:tcPr>
          <w:p w:rsidR="00FD2CDE" w:rsidRDefault="00F307CA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Выездная проверка</w:t>
            </w:r>
          </w:p>
        </w:tc>
        <w:tc>
          <w:tcPr>
            <w:tcW w:w="5722" w:type="dxa"/>
            <w:noWrap/>
          </w:tcPr>
          <w:p w:rsidR="00FD2CDE" w:rsidRDefault="00F307CA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Проводится не чаще 1 раза в год в соответствии с действующим законодательством</w:t>
            </w:r>
          </w:p>
        </w:tc>
        <w:tc>
          <w:tcPr>
            <w:tcW w:w="6094" w:type="dxa"/>
            <w:vMerge/>
            <w:noWrap/>
          </w:tcPr>
          <w:p w:rsidR="00FD2CDE" w:rsidRDefault="00FD2CDE"/>
        </w:tc>
      </w:tr>
    </w:tbl>
    <w:p w:rsidR="00FD2CDE" w:rsidRDefault="00F307CA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4. Требования к отчетности о выполнении государственного задания: </w:t>
      </w:r>
      <w:r>
        <w:rPr>
          <w:sz w:val="24"/>
          <w:szCs w:val="24"/>
          <w:u w:val="single"/>
        </w:rPr>
        <w:t>в соответствии с формой отчета об исполнении государственного задания (прилагается).</w:t>
      </w:r>
    </w:p>
    <w:p w:rsidR="00FD2CDE" w:rsidRDefault="00F307CA">
      <w:pPr>
        <w:jc w:val="both"/>
        <w:rPr>
          <w:sz w:val="24"/>
          <w:szCs w:val="24"/>
        </w:rPr>
      </w:pPr>
      <w:r>
        <w:rPr>
          <w:sz w:val="24"/>
          <w:szCs w:val="24"/>
        </w:rPr>
        <w:t>4.1. П</w:t>
      </w:r>
      <w:r>
        <w:rPr>
          <w:sz w:val="24"/>
          <w:szCs w:val="24"/>
        </w:rPr>
        <w:t xml:space="preserve">ериодичность представления отчетов о выполнении государственного задания: </w:t>
      </w:r>
      <w:r>
        <w:rPr>
          <w:sz w:val="24"/>
          <w:szCs w:val="24"/>
          <w:u w:val="single"/>
        </w:rPr>
        <w:t>ежеквартально, ежегодно.</w:t>
      </w:r>
    </w:p>
    <w:p w:rsidR="00FD2CDE" w:rsidRDefault="00F307CA">
      <w:pPr>
        <w:jc w:val="both"/>
        <w:rPr>
          <w:sz w:val="26"/>
          <w:szCs w:val="26"/>
          <w:u w:val="single"/>
        </w:rPr>
      </w:pPr>
      <w:r>
        <w:rPr>
          <w:sz w:val="24"/>
          <w:szCs w:val="24"/>
        </w:rPr>
        <w:t xml:space="preserve">4.2. Сроки представления отчетов о выполнении государственного задания: </w:t>
      </w:r>
      <w:r>
        <w:rPr>
          <w:sz w:val="24"/>
          <w:szCs w:val="24"/>
          <w:u w:val="single"/>
        </w:rPr>
        <w:t>ежеквартально (в части, касающейся показателей объема оказания государственных услуг)</w:t>
      </w:r>
      <w:r>
        <w:rPr>
          <w:sz w:val="24"/>
          <w:szCs w:val="24"/>
          <w:u w:val="single"/>
        </w:rPr>
        <w:t xml:space="preserve"> до 7 числа месяца, следующего за отчетным кварталом; за год - до 15 января года, следующего за отчетным.</w:t>
      </w:r>
    </w:p>
    <w:p w:rsidR="00FD2CDE" w:rsidRDefault="00F307CA">
      <w:pPr>
        <w:jc w:val="both"/>
        <w:rPr>
          <w:sz w:val="24"/>
          <w:szCs w:val="24"/>
        </w:rPr>
      </w:pPr>
      <w:r>
        <w:rPr>
          <w:sz w:val="24"/>
          <w:szCs w:val="24"/>
        </w:rPr>
        <w:t>4.2.1.  Сроки  представления  предварительного  отчета о выполнении государственного задания:</w:t>
      </w:r>
      <w:r>
        <w:rPr>
          <w:sz w:val="24"/>
          <w:szCs w:val="24"/>
          <w:u w:val="single"/>
        </w:rPr>
        <w:t xml:space="preserve"> не позднее 18 декабря текущего года.</w:t>
      </w:r>
    </w:p>
    <w:p w:rsidR="00FD2CDE" w:rsidRDefault="00F307CA">
      <w:pPr>
        <w:jc w:val="both"/>
        <w:rPr>
          <w:sz w:val="24"/>
          <w:szCs w:val="24"/>
        </w:rPr>
      </w:pPr>
      <w:r>
        <w:rPr>
          <w:sz w:val="24"/>
          <w:szCs w:val="24"/>
        </w:rPr>
        <w:t>4.3.  Иные  требова</w:t>
      </w:r>
      <w:r>
        <w:rPr>
          <w:sz w:val="24"/>
          <w:szCs w:val="24"/>
        </w:rPr>
        <w:t xml:space="preserve">ния  к  отчетности  о выполнении государственного задания: </w:t>
      </w:r>
      <w:r>
        <w:rPr>
          <w:sz w:val="24"/>
          <w:szCs w:val="24"/>
          <w:u w:val="single"/>
        </w:rPr>
        <w:t>нет</w:t>
      </w:r>
    </w:p>
    <w:p w:rsidR="00FD2CDE" w:rsidRDefault="00F307CA">
      <w:pPr>
        <w:spacing w:line="276" w:lineRule="auto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>5. Иные показатели, связанные с выполнением государственного задания:</w:t>
      </w:r>
    </w:p>
    <w:p w:rsidR="00FD2CDE" w:rsidRDefault="00F307CA">
      <w:pPr>
        <w:spacing w:line="276" w:lineRule="auto"/>
        <w:ind w:firstLine="709"/>
        <w:rPr>
          <w:b/>
          <w:bCs/>
          <w:sz w:val="24"/>
          <w:szCs w:val="24"/>
        </w:rPr>
      </w:pPr>
      <w:r>
        <w:rPr>
          <w:b/>
          <w:sz w:val="24"/>
          <w:szCs w:val="24"/>
          <w:u w:val="single"/>
        </w:rPr>
        <w:t>Показатели выполнения государственного задания 2026 г.</w:t>
      </w:r>
      <w:r>
        <w:rPr>
          <w:b/>
          <w:sz w:val="24"/>
          <w:szCs w:val="24"/>
        </w:rPr>
        <w:t xml:space="preserve">: </w:t>
      </w:r>
    </w:p>
    <w:p w:rsidR="00FD2CDE" w:rsidRDefault="00F307CA">
      <w:pPr>
        <w:spacing w:line="276" w:lineRule="auto"/>
        <w:ind w:firstLine="709"/>
        <w:rPr>
          <w:b/>
          <w:sz w:val="26"/>
          <w:szCs w:val="26"/>
          <w:u w:val="single"/>
        </w:rPr>
      </w:pPr>
      <w:r>
        <w:rPr>
          <w:b/>
          <w:sz w:val="24"/>
          <w:szCs w:val="24"/>
        </w:rPr>
        <w:t>Численность граждан, получивших социальные услуги (человек):</w:t>
      </w:r>
    </w:p>
    <w:p w:rsidR="00FD2CDE" w:rsidRDefault="00F307CA">
      <w:pPr>
        <w:spacing w:line="276" w:lineRule="auto"/>
        <w:ind w:firstLine="709"/>
        <w:rPr>
          <w:sz w:val="26"/>
          <w:szCs w:val="26"/>
          <w:u w:val="single"/>
        </w:rPr>
      </w:pPr>
      <w:r>
        <w:rPr>
          <w:sz w:val="24"/>
          <w:szCs w:val="24"/>
          <w:u w:val="single"/>
        </w:rPr>
        <w:t>Раздел 1: Среднесписочная 80,0 чел. в т.ч. поквартальное распределение:   3 кв. = 80,0 чел.;  4кв. 80,0 чел.</w:t>
      </w:r>
    </w:p>
    <w:sectPr w:rsidR="00FD2CDE" w:rsidSect="00FD2CDE">
      <w:headerReference w:type="default" r:id="rId12"/>
      <w:footerReference w:type="default" r:id="rId13"/>
      <w:headerReference w:type="first" r:id="rId14"/>
      <w:footerReference w:type="first" r:id="rId15"/>
      <w:pgSz w:w="16838" w:h="11906" w:orient="landscape"/>
      <w:pgMar w:top="1701" w:right="1134" w:bottom="777" w:left="1134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07CA" w:rsidRDefault="00F307CA">
      <w:r>
        <w:separator/>
      </w:r>
    </w:p>
  </w:endnote>
  <w:endnote w:type="continuationSeparator" w:id="1">
    <w:p w:rsidR="00F307CA" w:rsidRDefault="00F307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 Narrow"/>
    <w:charset w:val="00"/>
    <w:family w:val="auto"/>
    <w:pitch w:val="default"/>
    <w:sig w:usb0="00000000" w:usb1="00000000" w:usb2="00000000" w:usb3="00000000" w:csb0="00000000" w:csb1="00000000"/>
  </w:font>
  <w:font w:name="Droid Sans Fallback">
    <w:charset w:val="00"/>
    <w:family w:val="auto"/>
    <w:pitch w:val="default"/>
    <w:sig w:usb0="00000000" w:usb1="00000000" w:usb2="00000000" w:usb3="00000000" w:csb0="00000000" w:csb1="00000000"/>
  </w:font>
  <w:font w:name="Lohit Devanagar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CDE" w:rsidRDefault="00FD2CDE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CDE" w:rsidRDefault="00FD2CDE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CDE" w:rsidRDefault="00FD2CDE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CDE" w:rsidRDefault="00FD2CDE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07CA" w:rsidRDefault="00F307CA">
      <w:r>
        <w:separator/>
      </w:r>
    </w:p>
  </w:footnote>
  <w:footnote w:type="continuationSeparator" w:id="1">
    <w:p w:rsidR="00F307CA" w:rsidRDefault="00F307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CDE" w:rsidRDefault="00FD2CD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CDE" w:rsidRDefault="00FD2CDE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CDE" w:rsidRDefault="00FD2CDE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CDE" w:rsidRDefault="00FD2CDE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2CDE"/>
    <w:rsid w:val="004E12AF"/>
    <w:rsid w:val="00F307CA"/>
    <w:rsid w:val="00FD2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CD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FD2CDE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link w:val="Heading3"/>
    <w:uiPriority w:val="9"/>
    <w:rsid w:val="00FD2CDE"/>
    <w:rPr>
      <w:rFonts w:ascii="Arial" w:eastAsia="Arial" w:hAnsi="Arial" w:cs="Arial"/>
      <w:sz w:val="30"/>
      <w:szCs w:val="30"/>
    </w:rPr>
  </w:style>
  <w:style w:type="character" w:customStyle="1" w:styleId="Heading5Char">
    <w:name w:val="Heading 5 Char"/>
    <w:basedOn w:val="a0"/>
    <w:link w:val="Heading5"/>
    <w:uiPriority w:val="9"/>
    <w:rsid w:val="00FD2CDE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FD2CDE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FD2CD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FD2CDE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FD2CDE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FD2CDE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FD2CDE"/>
    <w:rPr>
      <w:sz w:val="24"/>
      <w:szCs w:val="24"/>
    </w:rPr>
  </w:style>
  <w:style w:type="character" w:customStyle="1" w:styleId="QuoteChar">
    <w:name w:val="Quote Char"/>
    <w:link w:val="2"/>
    <w:uiPriority w:val="29"/>
    <w:rsid w:val="00FD2CDE"/>
    <w:rPr>
      <w:i/>
    </w:rPr>
  </w:style>
  <w:style w:type="character" w:customStyle="1" w:styleId="IntenseQuoteChar">
    <w:name w:val="Intense Quote Char"/>
    <w:link w:val="a5"/>
    <w:uiPriority w:val="30"/>
    <w:rsid w:val="00FD2CDE"/>
    <w:rPr>
      <w:i/>
    </w:rPr>
  </w:style>
  <w:style w:type="character" w:customStyle="1" w:styleId="HeaderChar">
    <w:name w:val="Header Char"/>
    <w:basedOn w:val="a0"/>
    <w:link w:val="Header"/>
    <w:uiPriority w:val="99"/>
    <w:rsid w:val="00FD2CDE"/>
  </w:style>
  <w:style w:type="character" w:customStyle="1" w:styleId="CaptionChar">
    <w:name w:val="Caption Char"/>
    <w:link w:val="Footer"/>
    <w:uiPriority w:val="35"/>
    <w:rsid w:val="00FD2CDE"/>
  </w:style>
  <w:style w:type="character" w:customStyle="1" w:styleId="FootnoteTextChar">
    <w:name w:val="Footnote Text Char"/>
    <w:link w:val="a6"/>
    <w:uiPriority w:val="99"/>
    <w:rsid w:val="00FD2CDE"/>
    <w:rPr>
      <w:sz w:val="18"/>
    </w:rPr>
  </w:style>
  <w:style w:type="character" w:customStyle="1" w:styleId="EndnoteTextChar">
    <w:name w:val="Endnote Text Char"/>
    <w:link w:val="a7"/>
    <w:uiPriority w:val="99"/>
    <w:rsid w:val="00FD2CDE"/>
    <w:rPr>
      <w:sz w:val="20"/>
    </w:rPr>
  </w:style>
  <w:style w:type="paragraph" w:customStyle="1" w:styleId="Heading1">
    <w:name w:val="Heading 1"/>
    <w:basedOn w:val="a"/>
    <w:next w:val="a"/>
    <w:link w:val="1"/>
    <w:uiPriority w:val="9"/>
    <w:qFormat/>
    <w:rsid w:val="00FD2CDE"/>
    <w:pPr>
      <w:keepNext/>
      <w:widowControl/>
      <w:jc w:val="both"/>
      <w:outlineLvl w:val="0"/>
    </w:pPr>
    <w:rPr>
      <w:sz w:val="24"/>
    </w:rPr>
  </w:style>
  <w:style w:type="paragraph" w:customStyle="1" w:styleId="Heading2">
    <w:name w:val="Heading 2"/>
    <w:basedOn w:val="a"/>
    <w:next w:val="a"/>
    <w:link w:val="20"/>
    <w:uiPriority w:val="9"/>
    <w:qFormat/>
    <w:rsid w:val="00FD2CDE"/>
    <w:pPr>
      <w:keepNext/>
      <w:widowControl/>
      <w:outlineLvl w:val="1"/>
    </w:pPr>
    <w:rPr>
      <w:sz w:val="24"/>
    </w:rPr>
  </w:style>
  <w:style w:type="paragraph" w:customStyle="1" w:styleId="Heading3">
    <w:name w:val="Heading 3"/>
    <w:basedOn w:val="a"/>
    <w:next w:val="a"/>
    <w:link w:val="3"/>
    <w:uiPriority w:val="9"/>
    <w:qFormat/>
    <w:rsid w:val="00FD2CDE"/>
    <w:pPr>
      <w:keepNext/>
      <w:widowControl/>
      <w:jc w:val="center"/>
      <w:outlineLvl w:val="2"/>
    </w:pPr>
    <w:rPr>
      <w:b/>
      <w:sz w:val="40"/>
    </w:rPr>
  </w:style>
  <w:style w:type="paragraph" w:customStyle="1" w:styleId="Heading4">
    <w:name w:val="Heading 4"/>
    <w:basedOn w:val="a"/>
    <w:next w:val="a"/>
    <w:link w:val="4"/>
    <w:uiPriority w:val="9"/>
    <w:qFormat/>
    <w:rsid w:val="00FD2CDE"/>
    <w:pPr>
      <w:keepNext/>
      <w:jc w:val="center"/>
      <w:outlineLvl w:val="3"/>
    </w:pPr>
    <w:rPr>
      <w:sz w:val="28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FD2CD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FD2CD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FD2CD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FD2CD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FD2CD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Heading1"/>
    <w:uiPriority w:val="9"/>
    <w:rsid w:val="00FD2CDE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FD2CDE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Heading3"/>
    <w:uiPriority w:val="9"/>
    <w:rsid w:val="00FD2CDE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FD2CDE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Heading5"/>
    <w:uiPriority w:val="9"/>
    <w:rsid w:val="00FD2CDE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Heading6"/>
    <w:uiPriority w:val="9"/>
    <w:rsid w:val="00FD2CDE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Heading7"/>
    <w:uiPriority w:val="9"/>
    <w:rsid w:val="00FD2CD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Heading8"/>
    <w:uiPriority w:val="9"/>
    <w:rsid w:val="00FD2CDE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Heading9"/>
    <w:uiPriority w:val="9"/>
    <w:rsid w:val="00FD2CDE"/>
    <w:rPr>
      <w:rFonts w:ascii="Arial" w:eastAsia="Arial" w:hAnsi="Arial" w:cs="Arial"/>
      <w:i/>
      <w:iCs/>
      <w:sz w:val="21"/>
      <w:szCs w:val="21"/>
    </w:rPr>
  </w:style>
  <w:style w:type="paragraph" w:styleId="a8">
    <w:name w:val="No Spacing"/>
    <w:uiPriority w:val="1"/>
    <w:qFormat/>
    <w:rsid w:val="00FD2CDE"/>
  </w:style>
  <w:style w:type="paragraph" w:styleId="a3">
    <w:name w:val="Title"/>
    <w:basedOn w:val="a"/>
    <w:next w:val="a"/>
    <w:link w:val="a9"/>
    <w:uiPriority w:val="10"/>
    <w:qFormat/>
    <w:rsid w:val="00FD2CDE"/>
    <w:pPr>
      <w:spacing w:before="300" w:after="200"/>
      <w:contextualSpacing/>
    </w:pPr>
    <w:rPr>
      <w:sz w:val="48"/>
      <w:szCs w:val="48"/>
    </w:rPr>
  </w:style>
  <w:style w:type="character" w:customStyle="1" w:styleId="a9">
    <w:name w:val="Название Знак"/>
    <w:basedOn w:val="a0"/>
    <w:link w:val="a3"/>
    <w:uiPriority w:val="10"/>
    <w:rsid w:val="00FD2CDE"/>
    <w:rPr>
      <w:sz w:val="48"/>
      <w:szCs w:val="48"/>
    </w:rPr>
  </w:style>
  <w:style w:type="paragraph" w:styleId="a4">
    <w:name w:val="Subtitle"/>
    <w:basedOn w:val="a"/>
    <w:next w:val="a"/>
    <w:link w:val="aa"/>
    <w:uiPriority w:val="11"/>
    <w:qFormat/>
    <w:rsid w:val="00FD2CDE"/>
    <w:pPr>
      <w:spacing w:before="200" w:after="200"/>
    </w:pPr>
    <w:rPr>
      <w:sz w:val="24"/>
      <w:szCs w:val="24"/>
    </w:rPr>
  </w:style>
  <w:style w:type="character" w:customStyle="1" w:styleId="aa">
    <w:name w:val="Подзаголовок Знак"/>
    <w:basedOn w:val="a0"/>
    <w:link w:val="a4"/>
    <w:uiPriority w:val="11"/>
    <w:rsid w:val="00FD2CDE"/>
    <w:rPr>
      <w:sz w:val="24"/>
      <w:szCs w:val="24"/>
    </w:rPr>
  </w:style>
  <w:style w:type="paragraph" w:styleId="2">
    <w:name w:val="Quote"/>
    <w:basedOn w:val="a"/>
    <w:next w:val="a"/>
    <w:link w:val="21"/>
    <w:uiPriority w:val="29"/>
    <w:qFormat/>
    <w:rsid w:val="00FD2CDE"/>
    <w:pPr>
      <w:ind w:left="720" w:right="720"/>
    </w:pPr>
    <w:rPr>
      <w:i/>
    </w:rPr>
  </w:style>
  <w:style w:type="character" w:customStyle="1" w:styleId="21">
    <w:name w:val="Цитата 2 Знак"/>
    <w:link w:val="2"/>
    <w:uiPriority w:val="29"/>
    <w:rsid w:val="00FD2CDE"/>
    <w:rPr>
      <w:i/>
    </w:rPr>
  </w:style>
  <w:style w:type="paragraph" w:styleId="a5">
    <w:name w:val="Intense Quote"/>
    <w:basedOn w:val="a"/>
    <w:next w:val="a"/>
    <w:link w:val="ab"/>
    <w:uiPriority w:val="30"/>
    <w:qFormat/>
    <w:rsid w:val="00FD2CD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5"/>
    <w:uiPriority w:val="30"/>
    <w:rsid w:val="00FD2CDE"/>
    <w:rPr>
      <w:i/>
    </w:rPr>
  </w:style>
  <w:style w:type="character" w:customStyle="1" w:styleId="10">
    <w:name w:val="Верхний колонтитул Знак1"/>
    <w:basedOn w:val="a0"/>
    <w:link w:val="Header"/>
    <w:uiPriority w:val="99"/>
    <w:rsid w:val="00FD2CDE"/>
  </w:style>
  <w:style w:type="character" w:customStyle="1" w:styleId="FooterChar">
    <w:name w:val="Footer Char"/>
    <w:basedOn w:val="a0"/>
    <w:uiPriority w:val="99"/>
    <w:rsid w:val="00FD2CDE"/>
  </w:style>
  <w:style w:type="character" w:customStyle="1" w:styleId="ac">
    <w:name w:val="Нижний колонтитул Знак"/>
    <w:link w:val="Footer"/>
    <w:uiPriority w:val="99"/>
    <w:rsid w:val="00FD2CDE"/>
  </w:style>
  <w:style w:type="table" w:customStyle="1" w:styleId="TableGridLight">
    <w:name w:val="Table Grid Light"/>
    <w:basedOn w:val="a1"/>
    <w:uiPriority w:val="59"/>
    <w:rsid w:val="00FD2CD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D2CD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FD2CD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D2C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FD2C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FD2C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D2CD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D2CD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D2CD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D2CD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D2CD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D2CD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D2CD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D2CD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D2CD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D2CD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D2CD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D2CD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D2CD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D2CD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D2CD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D2CD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D2CD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D2CD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D2CD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D2CD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D2CD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D2CDE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D2CDE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D2CD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D2CD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D2CD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D2CDE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D2CDE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D2C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D2C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D2C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D2C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D2C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D2C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D2CD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D2CDE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D2CDE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D2CDE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D2CDE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D2CDE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D2CDE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D2CDE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D2CD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D2CD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D2CD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D2CD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D2CD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D2CD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D2CD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D2CDE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D2CDE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D2CDE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D2CDE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D2CDE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D2CDE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D2CDE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D2CD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6">
    <w:name w:val="footnote text"/>
    <w:basedOn w:val="a"/>
    <w:link w:val="ad"/>
    <w:uiPriority w:val="99"/>
    <w:semiHidden/>
    <w:unhideWhenUsed/>
    <w:rsid w:val="00FD2CDE"/>
    <w:pPr>
      <w:spacing w:after="40"/>
    </w:pPr>
    <w:rPr>
      <w:sz w:val="18"/>
    </w:rPr>
  </w:style>
  <w:style w:type="character" w:customStyle="1" w:styleId="ad">
    <w:name w:val="Текст сноски Знак"/>
    <w:link w:val="a6"/>
    <w:uiPriority w:val="99"/>
    <w:rsid w:val="00FD2CDE"/>
    <w:rPr>
      <w:sz w:val="18"/>
    </w:rPr>
  </w:style>
  <w:style w:type="character" w:styleId="ae">
    <w:name w:val="footnote reference"/>
    <w:basedOn w:val="a0"/>
    <w:uiPriority w:val="99"/>
    <w:unhideWhenUsed/>
    <w:rsid w:val="00FD2CDE"/>
    <w:rPr>
      <w:vertAlign w:val="superscript"/>
    </w:rPr>
  </w:style>
  <w:style w:type="paragraph" w:styleId="a7">
    <w:name w:val="endnote text"/>
    <w:basedOn w:val="a"/>
    <w:link w:val="af"/>
    <w:uiPriority w:val="99"/>
    <w:semiHidden/>
    <w:unhideWhenUsed/>
    <w:rsid w:val="00FD2CDE"/>
  </w:style>
  <w:style w:type="character" w:customStyle="1" w:styleId="af">
    <w:name w:val="Текст концевой сноски Знак"/>
    <w:link w:val="a7"/>
    <w:uiPriority w:val="99"/>
    <w:rsid w:val="00FD2CDE"/>
    <w:rPr>
      <w:sz w:val="20"/>
    </w:rPr>
  </w:style>
  <w:style w:type="character" w:styleId="af0">
    <w:name w:val="endnote reference"/>
    <w:basedOn w:val="a0"/>
    <w:uiPriority w:val="99"/>
    <w:semiHidden/>
    <w:unhideWhenUsed/>
    <w:rsid w:val="00FD2CDE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FD2CDE"/>
    <w:pPr>
      <w:spacing w:after="57"/>
    </w:pPr>
  </w:style>
  <w:style w:type="paragraph" w:styleId="22">
    <w:name w:val="toc 2"/>
    <w:basedOn w:val="a"/>
    <w:next w:val="a"/>
    <w:uiPriority w:val="39"/>
    <w:unhideWhenUsed/>
    <w:rsid w:val="00FD2CDE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FD2CDE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FD2CDE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FD2CDE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FD2CDE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FD2CDE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FD2CDE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FD2CDE"/>
    <w:pPr>
      <w:spacing w:after="57"/>
      <w:ind w:left="2268"/>
    </w:pPr>
  </w:style>
  <w:style w:type="paragraph" w:styleId="af1">
    <w:name w:val="TOC Heading"/>
    <w:uiPriority w:val="39"/>
    <w:unhideWhenUsed/>
    <w:rsid w:val="00FD2CDE"/>
  </w:style>
  <w:style w:type="paragraph" w:styleId="af2">
    <w:name w:val="table of figures"/>
    <w:basedOn w:val="a"/>
    <w:next w:val="a"/>
    <w:uiPriority w:val="99"/>
    <w:unhideWhenUsed/>
    <w:rsid w:val="00FD2CDE"/>
  </w:style>
  <w:style w:type="character" w:customStyle="1" w:styleId="20">
    <w:name w:val="Заголовок 2 Знак"/>
    <w:link w:val="Heading2"/>
    <w:rsid w:val="00FD2CDE"/>
    <w:rPr>
      <w:sz w:val="24"/>
    </w:rPr>
  </w:style>
  <w:style w:type="character" w:customStyle="1" w:styleId="af3">
    <w:name w:val="Текст выноски Знак"/>
    <w:link w:val="af4"/>
    <w:rsid w:val="00FD2CDE"/>
    <w:rPr>
      <w:rFonts w:ascii="Tahoma" w:hAnsi="Tahoma" w:cs="Tahoma"/>
      <w:sz w:val="16"/>
      <w:szCs w:val="16"/>
    </w:rPr>
  </w:style>
  <w:style w:type="character" w:customStyle="1" w:styleId="4">
    <w:name w:val="Заголовок 4 Знак"/>
    <w:basedOn w:val="a0"/>
    <w:link w:val="Heading4"/>
    <w:rsid w:val="00FD2CDE"/>
    <w:rPr>
      <w:sz w:val="28"/>
    </w:rPr>
  </w:style>
  <w:style w:type="character" w:customStyle="1" w:styleId="af5">
    <w:name w:val="Верхний колонтитул Знак"/>
    <w:basedOn w:val="a0"/>
    <w:uiPriority w:val="99"/>
    <w:rsid w:val="00FD2CDE"/>
  </w:style>
  <w:style w:type="character" w:customStyle="1" w:styleId="ConsPlusNormal">
    <w:name w:val="ConsPlusNormal Знак"/>
    <w:link w:val="ConsPlusNormal0"/>
    <w:rsid w:val="00FD2CDE"/>
    <w:rPr>
      <w:rFonts w:ascii="Arial" w:hAnsi="Arial" w:cs="Arial"/>
    </w:rPr>
  </w:style>
  <w:style w:type="character" w:styleId="af6">
    <w:name w:val="Hyperlink"/>
    <w:uiPriority w:val="99"/>
    <w:rsid w:val="00FD2CDE"/>
    <w:rPr>
      <w:color w:val="0000FF"/>
      <w:u w:val="single"/>
    </w:rPr>
  </w:style>
  <w:style w:type="character" w:customStyle="1" w:styleId="af7">
    <w:name w:val="Символ концевой сноски"/>
    <w:rsid w:val="00FD2CDE"/>
  </w:style>
  <w:style w:type="paragraph" w:customStyle="1" w:styleId="af8">
    <w:name w:val="Заголовок"/>
    <w:basedOn w:val="a"/>
    <w:next w:val="af9"/>
    <w:qFormat/>
    <w:rsid w:val="00FD2CDE"/>
    <w:pPr>
      <w:keepNext/>
      <w:spacing w:before="240" w:after="120"/>
    </w:pPr>
    <w:rPr>
      <w:rFonts w:ascii="Open Sans" w:eastAsia="Droid Sans Fallback" w:hAnsi="Open Sans" w:cs="Lohit Devanagari"/>
      <w:sz w:val="28"/>
      <w:szCs w:val="28"/>
    </w:rPr>
  </w:style>
  <w:style w:type="paragraph" w:styleId="af9">
    <w:name w:val="Body Text"/>
    <w:basedOn w:val="a"/>
    <w:rsid w:val="00FD2CDE"/>
    <w:pPr>
      <w:spacing w:after="140" w:line="276" w:lineRule="auto"/>
    </w:pPr>
  </w:style>
  <w:style w:type="paragraph" w:styleId="afa">
    <w:name w:val="List"/>
    <w:basedOn w:val="af9"/>
    <w:rsid w:val="00FD2CDE"/>
    <w:rPr>
      <w:rFonts w:cs="Lohit Devanagari"/>
    </w:rPr>
  </w:style>
  <w:style w:type="paragraph" w:customStyle="1" w:styleId="Caption">
    <w:name w:val="Caption"/>
    <w:basedOn w:val="a"/>
    <w:link w:val="CaptionChar"/>
    <w:uiPriority w:val="35"/>
    <w:qFormat/>
    <w:rsid w:val="00FD2CDE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b">
    <w:name w:val="index heading"/>
    <w:basedOn w:val="a"/>
    <w:qFormat/>
    <w:rsid w:val="00FD2CDE"/>
    <w:pPr>
      <w:suppressLineNumbers/>
    </w:pPr>
    <w:rPr>
      <w:rFonts w:cs="Lohit Devanagari"/>
    </w:rPr>
  </w:style>
  <w:style w:type="paragraph" w:customStyle="1" w:styleId="afc">
    <w:name w:val="Колонтитул"/>
    <w:basedOn w:val="a"/>
    <w:qFormat/>
    <w:rsid w:val="00FD2CDE"/>
  </w:style>
  <w:style w:type="paragraph" w:customStyle="1" w:styleId="Header">
    <w:name w:val="Header"/>
    <w:basedOn w:val="a"/>
    <w:link w:val="10"/>
    <w:uiPriority w:val="99"/>
    <w:rsid w:val="00FD2CDE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link w:val="ac"/>
    <w:uiPriority w:val="99"/>
    <w:rsid w:val="00FD2CDE"/>
    <w:pPr>
      <w:tabs>
        <w:tab w:val="center" w:pos="4153"/>
        <w:tab w:val="right" w:pos="8306"/>
      </w:tabs>
    </w:pPr>
  </w:style>
  <w:style w:type="paragraph" w:customStyle="1" w:styleId="caption1">
    <w:name w:val="caption1"/>
    <w:basedOn w:val="a"/>
    <w:next w:val="a"/>
    <w:qFormat/>
    <w:rsid w:val="00FD2CDE"/>
    <w:pPr>
      <w:widowControl/>
      <w:jc w:val="center"/>
    </w:pPr>
    <w:rPr>
      <w:b/>
      <w:sz w:val="40"/>
    </w:rPr>
  </w:style>
  <w:style w:type="paragraph" w:styleId="af4">
    <w:name w:val="Balloon Text"/>
    <w:basedOn w:val="a"/>
    <w:link w:val="af3"/>
    <w:qFormat/>
    <w:rsid w:val="00FD2CDE"/>
    <w:rPr>
      <w:rFonts w:ascii="Tahoma" w:hAnsi="Tahoma" w:cs="Tahoma"/>
      <w:sz w:val="16"/>
      <w:szCs w:val="16"/>
    </w:rPr>
  </w:style>
  <w:style w:type="paragraph" w:customStyle="1" w:styleId="ConsPlusNormal0">
    <w:name w:val="ConsPlusNormal"/>
    <w:link w:val="ConsPlusNormal"/>
    <w:qFormat/>
    <w:rsid w:val="00FD2CDE"/>
    <w:pPr>
      <w:widowControl w:val="0"/>
      <w:ind w:firstLine="720"/>
    </w:pPr>
    <w:rPr>
      <w:rFonts w:ascii="Arial" w:hAnsi="Arial" w:cs="Arial"/>
    </w:rPr>
  </w:style>
  <w:style w:type="paragraph" w:styleId="afd">
    <w:name w:val="List Paragraph"/>
    <w:basedOn w:val="a"/>
    <w:uiPriority w:val="34"/>
    <w:qFormat/>
    <w:rsid w:val="00FD2CDE"/>
    <w:pPr>
      <w:ind w:left="720"/>
      <w:contextualSpacing/>
    </w:pPr>
  </w:style>
  <w:style w:type="paragraph" w:customStyle="1" w:styleId="afe">
    <w:name w:val="Содержимое врезки"/>
    <w:basedOn w:val="a"/>
    <w:qFormat/>
    <w:rsid w:val="00FD2CDE"/>
  </w:style>
  <w:style w:type="table" w:styleId="aff">
    <w:name w:val="Table Grid"/>
    <w:basedOn w:val="a1"/>
    <w:uiPriority w:val="59"/>
    <w:rsid w:val="00FD2CD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D2CD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 w:cs="Courier New"/>
    </w:rPr>
  </w:style>
  <w:style w:type="paragraph" w:customStyle="1" w:styleId="ConsPlusCell">
    <w:name w:val="ConsPlusCell"/>
    <w:rsid w:val="00FD2CD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12443-73DE-43EF-9040-D20F9D5D1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2780</Words>
  <Characters>15851</Characters>
  <Application>Microsoft Office Word</Application>
  <DocSecurity>0</DocSecurity>
  <Lines>132</Lines>
  <Paragraphs>37</Paragraphs>
  <ScaleCrop>false</ScaleCrop>
  <Company>Elcom Ltd</Company>
  <LinksUpToDate>false</LinksUpToDate>
  <CharactersWithSpaces>18594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Батрова Яна Сергеевна</dc:creator>
  <cp:lastModifiedBy>poimpan</cp:lastModifiedBy>
  <cp:revision>2</cp:revision>
  <dcterms:created xsi:type="dcterms:W3CDTF">2026-08-04T08:39:00Z</dcterms:created>
  <dcterms:modified xsi:type="dcterms:W3CDTF">2026-08-04T08:39:00Z</dcterms:modified>
  <dc:language>ru-RU</dc:language>
</cp:coreProperties>
</file>